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C5" w:rsidRDefault="009D5EC6" w:rsidP="009D5EC6">
      <w:pPr>
        <w:jc w:val="center"/>
        <w:rPr>
          <w:rFonts w:ascii="Arial" w:hAnsi="Arial" w:cs="Arial"/>
          <w:b/>
          <w:color w:val="385623" w:themeColor="accent6" w:themeShade="80"/>
          <w:sz w:val="36"/>
          <w:szCs w:val="36"/>
        </w:rPr>
      </w:pPr>
      <w:bookmarkStart w:id="0" w:name="_GoBack"/>
      <w:bookmarkEnd w:id="0"/>
      <w:r w:rsidRPr="00730CC3">
        <w:rPr>
          <w:noProof/>
          <w:lang w:eastAsia="en-NZ"/>
        </w:rPr>
        <w:drawing>
          <wp:inline distT="0" distB="0" distL="0" distR="0" wp14:anchorId="411371ED" wp14:editId="220669D1">
            <wp:extent cx="3443652" cy="1216550"/>
            <wp:effectExtent l="0" t="0" r="4445" b="3175"/>
            <wp:docPr id="2" name="Picture 2" descr="W:\Templates\NZDSN Logos\NZDSN Logo Ma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 Logo May 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454" cy="1222132"/>
                    </a:xfrm>
                    <a:prstGeom prst="rect">
                      <a:avLst/>
                    </a:prstGeom>
                    <a:noFill/>
                    <a:ln>
                      <a:noFill/>
                    </a:ln>
                  </pic:spPr>
                </pic:pic>
              </a:graphicData>
            </a:graphic>
          </wp:inline>
        </w:drawing>
      </w:r>
    </w:p>
    <w:p w:rsidR="009D5EC6" w:rsidRPr="00F663C5" w:rsidRDefault="004878D3" w:rsidP="00F663C5">
      <w:pPr>
        <w:jc w:val="right"/>
        <w:rPr>
          <w:rFonts w:ascii="Arial" w:hAnsi="Arial" w:cs="Arial"/>
          <w:b/>
          <w:sz w:val="28"/>
          <w:szCs w:val="28"/>
        </w:rPr>
      </w:pPr>
      <w:r>
        <w:rPr>
          <w:rFonts w:ascii="Arial" w:hAnsi="Arial" w:cs="Arial"/>
          <w:b/>
          <w:sz w:val="28"/>
          <w:szCs w:val="28"/>
        </w:rPr>
        <w:t>June 3rd</w:t>
      </w:r>
      <w:r w:rsidR="00F663C5" w:rsidRPr="00F663C5">
        <w:rPr>
          <w:rFonts w:ascii="Arial" w:hAnsi="Arial" w:cs="Arial"/>
          <w:b/>
          <w:sz w:val="28"/>
          <w:szCs w:val="28"/>
        </w:rPr>
        <w:t xml:space="preserve"> 2020</w:t>
      </w:r>
    </w:p>
    <w:p w:rsidR="009D5EC6" w:rsidRDefault="009D5EC6" w:rsidP="009D5EC6">
      <w:pPr>
        <w:jc w:val="center"/>
        <w:rPr>
          <w:rFonts w:ascii="Arial" w:hAnsi="Arial" w:cs="Arial"/>
          <w:b/>
          <w:color w:val="385623" w:themeColor="accent6" w:themeShade="80"/>
          <w:sz w:val="36"/>
          <w:szCs w:val="36"/>
        </w:rPr>
      </w:pPr>
    </w:p>
    <w:p w:rsidR="004878D3" w:rsidRDefault="009D5EC6" w:rsidP="009D5EC6">
      <w:pPr>
        <w:jc w:val="center"/>
        <w:rPr>
          <w:rFonts w:ascii="Arial" w:hAnsi="Arial" w:cs="Arial"/>
          <w:b/>
          <w:color w:val="385623" w:themeColor="accent6" w:themeShade="80"/>
          <w:sz w:val="40"/>
          <w:szCs w:val="40"/>
        </w:rPr>
      </w:pPr>
      <w:r w:rsidRPr="004878D3">
        <w:rPr>
          <w:rFonts w:ascii="Arial" w:hAnsi="Arial" w:cs="Arial"/>
          <w:b/>
          <w:color w:val="385623" w:themeColor="accent6" w:themeShade="80"/>
          <w:sz w:val="40"/>
          <w:szCs w:val="40"/>
        </w:rPr>
        <w:t>EMPLOYMENT SUPPORT</w:t>
      </w:r>
      <w:r w:rsidR="004878D3">
        <w:rPr>
          <w:rFonts w:ascii="Arial" w:hAnsi="Arial" w:cs="Arial"/>
          <w:b/>
          <w:color w:val="385623" w:themeColor="accent6" w:themeShade="80"/>
          <w:sz w:val="40"/>
          <w:szCs w:val="40"/>
        </w:rPr>
        <w:t xml:space="preserve"> SERVICES</w:t>
      </w:r>
      <w:r w:rsidRPr="004878D3">
        <w:rPr>
          <w:rFonts w:ascii="Arial" w:hAnsi="Arial" w:cs="Arial"/>
          <w:b/>
          <w:color w:val="385623" w:themeColor="accent6" w:themeShade="80"/>
          <w:sz w:val="40"/>
          <w:szCs w:val="40"/>
        </w:rPr>
        <w:t>:</w:t>
      </w:r>
      <w:r w:rsidR="004878D3">
        <w:rPr>
          <w:rFonts w:ascii="Arial" w:hAnsi="Arial" w:cs="Arial"/>
          <w:b/>
          <w:color w:val="385623" w:themeColor="accent6" w:themeShade="80"/>
          <w:sz w:val="40"/>
          <w:szCs w:val="40"/>
        </w:rPr>
        <w:t xml:space="preserve"> </w:t>
      </w:r>
    </w:p>
    <w:p w:rsidR="009D5EC6" w:rsidRPr="004878D3" w:rsidRDefault="004878D3" w:rsidP="009D5EC6">
      <w:pPr>
        <w:jc w:val="center"/>
        <w:rPr>
          <w:rFonts w:ascii="Arial" w:hAnsi="Arial" w:cs="Arial"/>
          <w:b/>
          <w:color w:val="385623" w:themeColor="accent6" w:themeShade="80"/>
          <w:sz w:val="40"/>
          <w:szCs w:val="40"/>
        </w:rPr>
      </w:pPr>
      <w:r>
        <w:rPr>
          <w:rFonts w:ascii="Arial" w:hAnsi="Arial" w:cs="Arial"/>
          <w:b/>
          <w:color w:val="385623" w:themeColor="accent6" w:themeShade="80"/>
          <w:sz w:val="40"/>
          <w:szCs w:val="40"/>
        </w:rPr>
        <w:t>Benchmarking outcomes, activities, hours and price</w:t>
      </w:r>
    </w:p>
    <w:p w:rsidR="009D5EC6" w:rsidRDefault="009D5EC6" w:rsidP="009D5EC6">
      <w:pPr>
        <w:rPr>
          <w:rFonts w:ascii="Arial" w:hAnsi="Arial" w:cs="Arial"/>
          <w:b/>
          <w:color w:val="385623" w:themeColor="accent6" w:themeShade="80"/>
          <w:sz w:val="28"/>
          <w:szCs w:val="28"/>
        </w:rPr>
      </w:pPr>
    </w:p>
    <w:p w:rsidR="009D5EC6" w:rsidRDefault="009D5EC6" w:rsidP="009D5EC6">
      <w:pPr>
        <w:rPr>
          <w:rFonts w:ascii="Arial" w:hAnsi="Arial" w:cs="Arial"/>
          <w:b/>
          <w:color w:val="385623" w:themeColor="accent6" w:themeShade="80"/>
          <w:sz w:val="28"/>
          <w:szCs w:val="28"/>
        </w:rPr>
      </w:pPr>
    </w:p>
    <w:p w:rsidR="009D5EC6" w:rsidRPr="00F663C5" w:rsidRDefault="009D5EC6" w:rsidP="00F663C5">
      <w:pPr>
        <w:spacing w:after="200"/>
        <w:ind w:left="720"/>
        <w:rPr>
          <w:rFonts w:ascii="Arial" w:hAnsi="Arial" w:cs="Arial"/>
          <w:b/>
          <w:sz w:val="28"/>
          <w:szCs w:val="28"/>
        </w:rPr>
      </w:pPr>
      <w:r w:rsidRPr="00F663C5">
        <w:rPr>
          <w:rFonts w:ascii="Arial" w:hAnsi="Arial" w:cs="Arial"/>
          <w:b/>
          <w:sz w:val="32"/>
          <w:szCs w:val="32"/>
        </w:rPr>
        <w:t>Contents:</w:t>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r>
      <w:r w:rsidR="00F663C5" w:rsidRPr="00F663C5">
        <w:rPr>
          <w:rFonts w:ascii="Arial" w:hAnsi="Arial" w:cs="Arial"/>
          <w:b/>
          <w:sz w:val="28"/>
          <w:szCs w:val="28"/>
        </w:rPr>
        <w:tab/>
        <w:t xml:space="preserve">    </w:t>
      </w:r>
      <w:r w:rsidRPr="00F663C5">
        <w:rPr>
          <w:rFonts w:ascii="Arial" w:hAnsi="Arial" w:cs="Arial"/>
          <w:b/>
          <w:sz w:val="32"/>
          <w:szCs w:val="32"/>
        </w:rPr>
        <w:t>Page</w:t>
      </w:r>
    </w:p>
    <w:p w:rsidR="009D5EC6" w:rsidRPr="00F663C5" w:rsidRDefault="009D5EC6" w:rsidP="00F663C5">
      <w:pPr>
        <w:spacing w:after="80"/>
        <w:ind w:left="720"/>
        <w:rPr>
          <w:rFonts w:ascii="Arial" w:hAnsi="Arial" w:cs="Arial"/>
          <w:b/>
          <w:sz w:val="28"/>
          <w:szCs w:val="28"/>
        </w:rPr>
      </w:pPr>
      <w:r w:rsidRPr="00F663C5">
        <w:rPr>
          <w:rFonts w:ascii="Arial" w:hAnsi="Arial" w:cs="Arial"/>
          <w:b/>
          <w:sz w:val="28"/>
          <w:szCs w:val="28"/>
        </w:rPr>
        <w:t>Matrix Template</w:t>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t>1</w:t>
      </w:r>
    </w:p>
    <w:p w:rsidR="009D5EC6" w:rsidRPr="00F663C5" w:rsidRDefault="009D5EC6" w:rsidP="00F663C5">
      <w:pPr>
        <w:spacing w:after="80"/>
        <w:ind w:left="720"/>
        <w:rPr>
          <w:rFonts w:ascii="Arial" w:hAnsi="Arial" w:cs="Arial"/>
          <w:b/>
          <w:sz w:val="28"/>
          <w:szCs w:val="28"/>
        </w:rPr>
      </w:pPr>
      <w:r w:rsidRPr="00F663C5">
        <w:rPr>
          <w:rFonts w:ascii="Arial" w:hAnsi="Arial" w:cs="Arial"/>
          <w:b/>
          <w:sz w:val="28"/>
          <w:szCs w:val="28"/>
        </w:rPr>
        <w:t>Commentary</w:t>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t>5</w:t>
      </w:r>
    </w:p>
    <w:p w:rsidR="009D5EC6" w:rsidRPr="00F663C5" w:rsidRDefault="009D5EC6" w:rsidP="00F663C5">
      <w:pPr>
        <w:spacing w:after="80"/>
        <w:ind w:left="720"/>
        <w:rPr>
          <w:rFonts w:ascii="Arial" w:hAnsi="Arial" w:cs="Arial"/>
          <w:b/>
          <w:sz w:val="28"/>
          <w:szCs w:val="28"/>
        </w:rPr>
      </w:pPr>
      <w:r w:rsidRPr="00F663C5">
        <w:rPr>
          <w:rFonts w:ascii="Arial" w:hAnsi="Arial" w:cs="Arial"/>
          <w:b/>
          <w:sz w:val="28"/>
          <w:szCs w:val="28"/>
        </w:rPr>
        <w:t>Intent of proposed Changes</w:t>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t>5</w:t>
      </w:r>
    </w:p>
    <w:p w:rsidR="009D5EC6" w:rsidRPr="00F663C5" w:rsidRDefault="009D5EC6" w:rsidP="00F663C5">
      <w:pPr>
        <w:spacing w:after="80"/>
        <w:ind w:left="720"/>
        <w:rPr>
          <w:rFonts w:ascii="Arial" w:hAnsi="Arial" w:cs="Arial"/>
          <w:b/>
          <w:sz w:val="28"/>
          <w:szCs w:val="28"/>
        </w:rPr>
      </w:pPr>
      <w:r w:rsidRPr="00F663C5">
        <w:rPr>
          <w:rFonts w:ascii="Arial" w:hAnsi="Arial" w:cs="Arial"/>
          <w:b/>
          <w:sz w:val="28"/>
          <w:szCs w:val="28"/>
        </w:rPr>
        <w:lastRenderedPageBreak/>
        <w:t>The Main Changes</w:t>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t>5</w:t>
      </w:r>
    </w:p>
    <w:p w:rsidR="009D5EC6" w:rsidRPr="00F663C5" w:rsidRDefault="009D5EC6" w:rsidP="00F663C5">
      <w:pPr>
        <w:spacing w:after="80"/>
        <w:ind w:left="720"/>
        <w:rPr>
          <w:rFonts w:ascii="Arial" w:hAnsi="Arial" w:cs="Arial"/>
          <w:b/>
          <w:sz w:val="28"/>
          <w:szCs w:val="28"/>
        </w:rPr>
      </w:pPr>
      <w:r w:rsidRPr="00F663C5">
        <w:rPr>
          <w:rFonts w:ascii="Arial" w:hAnsi="Arial" w:cs="Arial"/>
          <w:b/>
          <w:sz w:val="28"/>
          <w:szCs w:val="28"/>
        </w:rPr>
        <w:t>Other Observations and Issues to Note</w:t>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t>7</w:t>
      </w:r>
    </w:p>
    <w:p w:rsidR="009D5EC6" w:rsidRPr="00F663C5" w:rsidRDefault="009D5EC6" w:rsidP="00F663C5">
      <w:pPr>
        <w:spacing w:after="80"/>
        <w:ind w:left="720"/>
        <w:rPr>
          <w:rFonts w:ascii="Arial" w:hAnsi="Arial" w:cs="Arial"/>
          <w:b/>
          <w:sz w:val="28"/>
          <w:szCs w:val="28"/>
        </w:rPr>
      </w:pPr>
      <w:r w:rsidRPr="00F663C5">
        <w:rPr>
          <w:rFonts w:ascii="Arial" w:hAnsi="Arial" w:cs="Arial"/>
          <w:b/>
          <w:sz w:val="28"/>
          <w:szCs w:val="28"/>
        </w:rPr>
        <w:t>Project Brief from MSD</w:t>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r>
      <w:r w:rsidRPr="00F663C5">
        <w:rPr>
          <w:rFonts w:ascii="Arial" w:hAnsi="Arial" w:cs="Arial"/>
          <w:b/>
          <w:sz w:val="28"/>
          <w:szCs w:val="28"/>
        </w:rPr>
        <w:tab/>
        <w:t>9</w:t>
      </w:r>
    </w:p>
    <w:p w:rsidR="009D5EC6" w:rsidRDefault="009D5EC6" w:rsidP="009D5EC6">
      <w:pPr>
        <w:rPr>
          <w:rFonts w:ascii="Arial" w:hAnsi="Arial" w:cs="Arial"/>
          <w:b/>
          <w:color w:val="385623" w:themeColor="accent6" w:themeShade="80"/>
          <w:sz w:val="36"/>
          <w:szCs w:val="36"/>
        </w:rPr>
      </w:pPr>
      <w:r>
        <w:rPr>
          <w:rFonts w:ascii="Arial" w:hAnsi="Arial" w:cs="Arial"/>
          <w:b/>
          <w:color w:val="385623" w:themeColor="accent6" w:themeShade="80"/>
          <w:sz w:val="36"/>
          <w:szCs w:val="36"/>
        </w:rPr>
        <w:br w:type="page"/>
      </w:r>
    </w:p>
    <w:p w:rsidR="004A404D" w:rsidRPr="00311890" w:rsidRDefault="004A404D" w:rsidP="00311890">
      <w:pPr>
        <w:jc w:val="center"/>
        <w:rPr>
          <w:rFonts w:ascii="Arial" w:hAnsi="Arial" w:cs="Arial"/>
          <w:b/>
          <w:color w:val="385623" w:themeColor="accent6" w:themeShade="80"/>
          <w:sz w:val="36"/>
          <w:szCs w:val="36"/>
        </w:rPr>
      </w:pPr>
      <w:r w:rsidRPr="00311890">
        <w:rPr>
          <w:rFonts w:ascii="Arial" w:hAnsi="Arial" w:cs="Arial"/>
          <w:b/>
          <w:color w:val="385623" w:themeColor="accent6" w:themeShade="80"/>
          <w:sz w:val="36"/>
          <w:szCs w:val="36"/>
        </w:rPr>
        <w:lastRenderedPageBreak/>
        <w:t>Employment Suppo</w:t>
      </w:r>
      <w:r w:rsidR="00103AC4" w:rsidRPr="00311890">
        <w:rPr>
          <w:rFonts w:ascii="Arial" w:hAnsi="Arial" w:cs="Arial"/>
          <w:b/>
          <w:color w:val="385623" w:themeColor="accent6" w:themeShade="80"/>
          <w:sz w:val="36"/>
          <w:szCs w:val="36"/>
        </w:rPr>
        <w:t>rt: Benchmarking Outcomes, Key Activity, Hours and P</w:t>
      </w:r>
      <w:r w:rsidRPr="00311890">
        <w:rPr>
          <w:rFonts w:ascii="Arial" w:hAnsi="Arial" w:cs="Arial"/>
          <w:b/>
          <w:color w:val="385623" w:themeColor="accent6" w:themeShade="80"/>
          <w:sz w:val="36"/>
          <w:szCs w:val="36"/>
        </w:rPr>
        <w:t>rice</w:t>
      </w:r>
    </w:p>
    <w:p w:rsidR="004A404D" w:rsidRDefault="004A404D" w:rsidP="004A404D"/>
    <w:tbl>
      <w:tblPr>
        <w:tblStyle w:val="TableGrid"/>
        <w:tblW w:w="14029" w:type="dxa"/>
        <w:tblLook w:val="04A0" w:firstRow="1" w:lastRow="0" w:firstColumn="1" w:lastColumn="0" w:noHBand="0" w:noVBand="1"/>
      </w:tblPr>
      <w:tblGrid>
        <w:gridCol w:w="3674"/>
        <w:gridCol w:w="7477"/>
        <w:gridCol w:w="1324"/>
        <w:gridCol w:w="1554"/>
      </w:tblGrid>
      <w:tr w:rsidR="004A404D" w:rsidTr="004A404D">
        <w:tc>
          <w:tcPr>
            <w:tcW w:w="3681" w:type="dxa"/>
          </w:tcPr>
          <w:p w:rsidR="004A404D" w:rsidRPr="004A404D" w:rsidRDefault="00311890" w:rsidP="004A79D5">
            <w:pPr>
              <w:spacing w:before="80" w:after="60"/>
              <w:rPr>
                <w:rFonts w:ascii="Arial" w:hAnsi="Arial" w:cs="Arial"/>
                <w:sz w:val="24"/>
                <w:szCs w:val="24"/>
              </w:rPr>
            </w:pPr>
            <w:r>
              <w:rPr>
                <w:rFonts w:ascii="Arial" w:hAnsi="Arial" w:cs="Arial"/>
                <w:color w:val="002060"/>
                <w:sz w:val="24"/>
                <w:szCs w:val="24"/>
              </w:rPr>
              <w:t xml:space="preserve">    </w:t>
            </w:r>
            <w:r w:rsidR="009B5522" w:rsidRPr="00311890">
              <w:rPr>
                <w:rFonts w:ascii="Arial" w:hAnsi="Arial" w:cs="Arial"/>
                <w:color w:val="002060"/>
                <w:sz w:val="24"/>
                <w:szCs w:val="24"/>
              </w:rPr>
              <w:t>Outcome Milestones</w:t>
            </w:r>
          </w:p>
        </w:tc>
        <w:tc>
          <w:tcPr>
            <w:tcW w:w="7513" w:type="dxa"/>
          </w:tcPr>
          <w:p w:rsidR="004A404D" w:rsidRPr="004A404D" w:rsidRDefault="004A404D" w:rsidP="00311890">
            <w:pPr>
              <w:spacing w:before="80" w:after="60"/>
              <w:jc w:val="center"/>
              <w:rPr>
                <w:rFonts w:ascii="Arial" w:hAnsi="Arial" w:cs="Arial"/>
                <w:sz w:val="24"/>
                <w:szCs w:val="24"/>
              </w:rPr>
            </w:pPr>
            <w:r w:rsidRPr="00311890">
              <w:rPr>
                <w:rFonts w:ascii="Arial" w:hAnsi="Arial" w:cs="Arial"/>
                <w:color w:val="385623" w:themeColor="accent6" w:themeShade="80"/>
                <w:sz w:val="24"/>
                <w:szCs w:val="24"/>
              </w:rPr>
              <w:t>Key Activities</w:t>
            </w:r>
            <w:r w:rsidR="00672F2D" w:rsidRPr="00311890">
              <w:rPr>
                <w:rFonts w:ascii="Arial" w:hAnsi="Arial" w:cs="Arial"/>
                <w:color w:val="385623" w:themeColor="accent6" w:themeShade="80"/>
                <w:sz w:val="24"/>
                <w:szCs w:val="24"/>
              </w:rPr>
              <w:t xml:space="preserve"> and Pathways</w:t>
            </w:r>
          </w:p>
        </w:tc>
        <w:tc>
          <w:tcPr>
            <w:tcW w:w="1275" w:type="dxa"/>
          </w:tcPr>
          <w:p w:rsidR="004A404D" w:rsidRPr="00311890" w:rsidRDefault="009B5522" w:rsidP="004A79D5">
            <w:pPr>
              <w:spacing w:before="80" w:after="60"/>
              <w:rPr>
                <w:rFonts w:ascii="Arial" w:hAnsi="Arial" w:cs="Arial"/>
                <w:color w:val="C45911" w:themeColor="accent2" w:themeShade="BF"/>
                <w:sz w:val="24"/>
                <w:szCs w:val="24"/>
              </w:rPr>
            </w:pPr>
            <w:r w:rsidRPr="00311890">
              <w:rPr>
                <w:rFonts w:ascii="Arial" w:hAnsi="Arial" w:cs="Arial"/>
                <w:color w:val="C45911" w:themeColor="accent2" w:themeShade="BF"/>
                <w:sz w:val="24"/>
                <w:szCs w:val="24"/>
              </w:rPr>
              <w:t>Indicative hours</w:t>
            </w:r>
          </w:p>
        </w:tc>
        <w:tc>
          <w:tcPr>
            <w:tcW w:w="1560" w:type="dxa"/>
          </w:tcPr>
          <w:p w:rsidR="005F744D" w:rsidRPr="00311890" w:rsidRDefault="005F744D" w:rsidP="004A79D5">
            <w:pPr>
              <w:spacing w:before="80" w:after="60"/>
              <w:rPr>
                <w:rFonts w:ascii="Arial" w:hAnsi="Arial" w:cs="Arial"/>
                <w:color w:val="C45911" w:themeColor="accent2" w:themeShade="BF"/>
                <w:sz w:val="24"/>
                <w:szCs w:val="24"/>
              </w:rPr>
            </w:pPr>
            <w:r w:rsidRPr="00311890">
              <w:rPr>
                <w:rFonts w:ascii="Arial" w:hAnsi="Arial" w:cs="Arial"/>
                <w:color w:val="C45911" w:themeColor="accent2" w:themeShade="BF"/>
                <w:sz w:val="24"/>
                <w:szCs w:val="24"/>
              </w:rPr>
              <w:t xml:space="preserve"> Price</w:t>
            </w:r>
          </w:p>
        </w:tc>
      </w:tr>
      <w:tr w:rsidR="004A404D" w:rsidTr="004A404D">
        <w:tc>
          <w:tcPr>
            <w:tcW w:w="3681" w:type="dxa"/>
          </w:tcPr>
          <w:p w:rsidR="004A404D" w:rsidRPr="00311890" w:rsidRDefault="00495A08" w:rsidP="004A79D5">
            <w:pPr>
              <w:pStyle w:val="ListParagraph"/>
              <w:numPr>
                <w:ilvl w:val="0"/>
                <w:numId w:val="1"/>
              </w:numPr>
              <w:spacing w:before="80" w:after="120"/>
              <w:rPr>
                <w:rFonts w:ascii="Arial" w:hAnsi="Arial" w:cs="Arial"/>
                <w:color w:val="1F3864" w:themeColor="accent5" w:themeShade="80"/>
                <w:u w:val="single"/>
              </w:rPr>
            </w:pPr>
            <w:r w:rsidRPr="00311890">
              <w:rPr>
                <w:rFonts w:ascii="Arial" w:hAnsi="Arial" w:cs="Arial"/>
                <w:color w:val="1F3864" w:themeColor="accent5" w:themeShade="80"/>
                <w:u w:val="single"/>
              </w:rPr>
              <w:t xml:space="preserve">Enrolment &amp; </w:t>
            </w:r>
            <w:r w:rsidR="004A404D" w:rsidRPr="00311890">
              <w:rPr>
                <w:rFonts w:ascii="Arial" w:hAnsi="Arial" w:cs="Arial"/>
                <w:color w:val="1F3864" w:themeColor="accent5" w:themeShade="80"/>
                <w:u w:val="single"/>
              </w:rPr>
              <w:t>Planning</w:t>
            </w:r>
          </w:p>
          <w:p w:rsidR="00C771A2" w:rsidRPr="00311890" w:rsidRDefault="00C771A2" w:rsidP="00C771A2">
            <w:pPr>
              <w:pStyle w:val="ListParagraph"/>
              <w:spacing w:before="80" w:after="120"/>
              <w:ind w:left="360"/>
              <w:rPr>
                <w:rFonts w:ascii="Arial" w:hAnsi="Arial" w:cs="Arial"/>
                <w:b w:val="0"/>
                <w:color w:val="1F3864" w:themeColor="accent5" w:themeShade="80"/>
              </w:rPr>
            </w:pPr>
          </w:p>
          <w:p w:rsidR="00C771A2" w:rsidRPr="00C771A2" w:rsidRDefault="00C771A2" w:rsidP="00C771A2">
            <w:pPr>
              <w:spacing w:before="80" w:after="120"/>
              <w:rPr>
                <w:rFonts w:ascii="Arial" w:hAnsi="Arial" w:cs="Arial"/>
                <w:b w:val="0"/>
              </w:rPr>
            </w:pPr>
            <w:r>
              <w:rPr>
                <w:rFonts w:ascii="Arial" w:hAnsi="Arial" w:cs="Arial"/>
                <w:b w:val="0"/>
              </w:rPr>
              <w:t>(Practice Guidelines 1- 4)</w:t>
            </w:r>
          </w:p>
        </w:tc>
        <w:tc>
          <w:tcPr>
            <w:tcW w:w="7513" w:type="dxa"/>
          </w:tcPr>
          <w:p w:rsidR="004A404D" w:rsidRDefault="009B5522" w:rsidP="009B5522">
            <w:pPr>
              <w:pStyle w:val="ListParagraph"/>
              <w:numPr>
                <w:ilvl w:val="0"/>
                <w:numId w:val="3"/>
              </w:numPr>
              <w:spacing w:before="80" w:after="120"/>
            </w:pPr>
            <w:r>
              <w:t>Processing referrals and determining eligibility</w:t>
            </w:r>
          </w:p>
          <w:p w:rsidR="00B03EB3" w:rsidRDefault="00672F2D" w:rsidP="009B5522">
            <w:pPr>
              <w:pStyle w:val="ListParagraph"/>
              <w:numPr>
                <w:ilvl w:val="0"/>
                <w:numId w:val="3"/>
              </w:numPr>
              <w:spacing w:before="80" w:after="120"/>
            </w:pPr>
            <w:r>
              <w:t>Determining initial pathway (existing vacancy/</w:t>
            </w:r>
            <w:r w:rsidR="00BB3C33">
              <w:t xml:space="preserve">partially </w:t>
            </w:r>
            <w:r>
              <w:t>customised/</w:t>
            </w:r>
            <w:r w:rsidR="00BB3C33">
              <w:t>fully customised/</w:t>
            </w:r>
            <w:r>
              <w:t>training)</w:t>
            </w:r>
          </w:p>
          <w:p w:rsidR="009B5522" w:rsidRDefault="009B5522" w:rsidP="009B5522">
            <w:pPr>
              <w:pStyle w:val="ListParagraph"/>
              <w:numPr>
                <w:ilvl w:val="0"/>
                <w:numId w:val="3"/>
              </w:numPr>
              <w:spacing w:before="80" w:after="120"/>
            </w:pPr>
            <w:r>
              <w:t>High level initial planning and goal setting</w:t>
            </w:r>
          </w:p>
          <w:p w:rsidR="009B5522" w:rsidRDefault="00496D9D" w:rsidP="009B5522">
            <w:pPr>
              <w:pStyle w:val="ListParagraph"/>
              <w:numPr>
                <w:ilvl w:val="0"/>
                <w:numId w:val="3"/>
              </w:numPr>
              <w:spacing w:before="80" w:after="120"/>
            </w:pPr>
            <w:r>
              <w:t xml:space="preserve">Initial </w:t>
            </w:r>
            <w:r w:rsidR="009B5522">
              <w:t>Job seeker profile</w:t>
            </w:r>
          </w:p>
          <w:p w:rsidR="002D3D5F" w:rsidRDefault="002D3D5F" w:rsidP="009B5522">
            <w:pPr>
              <w:pStyle w:val="ListParagraph"/>
              <w:numPr>
                <w:ilvl w:val="0"/>
                <w:numId w:val="3"/>
              </w:numPr>
              <w:spacing w:before="80" w:after="120"/>
            </w:pPr>
            <w:r>
              <w:t>Accessible Information about benefit/wage dynamics</w:t>
            </w:r>
          </w:p>
          <w:p w:rsidR="009B5522" w:rsidRPr="00056D6F" w:rsidRDefault="00B03EB3" w:rsidP="00056D6F">
            <w:pPr>
              <w:pStyle w:val="ListParagraph"/>
              <w:numPr>
                <w:ilvl w:val="0"/>
                <w:numId w:val="3"/>
              </w:numPr>
              <w:spacing w:before="80" w:after="120"/>
            </w:pPr>
            <w:r>
              <w:t>Family/personal network and agency liaison</w:t>
            </w:r>
          </w:p>
        </w:tc>
        <w:tc>
          <w:tcPr>
            <w:tcW w:w="1275" w:type="dxa"/>
          </w:tcPr>
          <w:p w:rsidR="004A404D" w:rsidRDefault="00B26803" w:rsidP="004A79D5">
            <w:pPr>
              <w:spacing w:before="80" w:after="120"/>
            </w:pPr>
            <w:r>
              <w:t>15</w:t>
            </w:r>
            <w:r w:rsidR="00672F2D">
              <w:t>hrs</w:t>
            </w:r>
          </w:p>
        </w:tc>
        <w:tc>
          <w:tcPr>
            <w:tcW w:w="1560" w:type="dxa"/>
          </w:tcPr>
          <w:p w:rsidR="004A404D" w:rsidRDefault="00D60FA1" w:rsidP="004A79D5">
            <w:pPr>
              <w:spacing w:before="80" w:after="120"/>
            </w:pPr>
            <w:r>
              <w:t>$900</w:t>
            </w:r>
          </w:p>
        </w:tc>
      </w:tr>
      <w:tr w:rsidR="004A404D" w:rsidTr="004A404D">
        <w:tc>
          <w:tcPr>
            <w:tcW w:w="3681" w:type="dxa"/>
          </w:tcPr>
          <w:p w:rsidR="004A404D" w:rsidRPr="00311890" w:rsidRDefault="004A404D" w:rsidP="004A79D5">
            <w:pPr>
              <w:pStyle w:val="ListParagraph"/>
              <w:numPr>
                <w:ilvl w:val="0"/>
                <w:numId w:val="1"/>
              </w:numPr>
              <w:spacing w:before="80" w:after="120"/>
              <w:rPr>
                <w:rFonts w:ascii="Arial" w:hAnsi="Arial" w:cs="Arial"/>
                <w:color w:val="1F3864" w:themeColor="accent5" w:themeShade="80"/>
                <w:u w:val="single"/>
              </w:rPr>
            </w:pPr>
            <w:r w:rsidRPr="00311890">
              <w:rPr>
                <w:rFonts w:ascii="Arial" w:hAnsi="Arial" w:cs="Arial"/>
                <w:color w:val="1F3864" w:themeColor="accent5" w:themeShade="80"/>
                <w:u w:val="single"/>
              </w:rPr>
              <w:t>Job Development</w:t>
            </w:r>
            <w:r w:rsidR="00495A08" w:rsidRPr="00311890">
              <w:rPr>
                <w:rFonts w:ascii="Arial" w:hAnsi="Arial" w:cs="Arial"/>
                <w:color w:val="1F3864" w:themeColor="accent5" w:themeShade="80"/>
                <w:u w:val="single"/>
              </w:rPr>
              <w:t xml:space="preserve"> &amp; Employment O</w:t>
            </w:r>
            <w:r w:rsidR="009B5522" w:rsidRPr="00311890">
              <w:rPr>
                <w:rFonts w:ascii="Arial" w:hAnsi="Arial" w:cs="Arial"/>
                <w:color w:val="1F3864" w:themeColor="accent5" w:themeShade="80"/>
                <w:u w:val="single"/>
              </w:rPr>
              <w:t>utcome</w:t>
            </w:r>
            <w:r w:rsidR="003F7FD7" w:rsidRPr="00311890">
              <w:rPr>
                <w:rFonts w:ascii="Arial" w:hAnsi="Arial" w:cs="Arial"/>
                <w:color w:val="1F3864" w:themeColor="accent5" w:themeShade="80"/>
                <w:u w:val="single"/>
              </w:rPr>
              <w:t xml:space="preserve"> (placement)</w:t>
            </w:r>
          </w:p>
          <w:p w:rsidR="00C771A2" w:rsidRDefault="00C771A2" w:rsidP="00C771A2">
            <w:pPr>
              <w:spacing w:before="80" w:after="120"/>
              <w:rPr>
                <w:rFonts w:ascii="Arial" w:hAnsi="Arial" w:cs="Arial"/>
                <w:b w:val="0"/>
              </w:rPr>
            </w:pPr>
          </w:p>
          <w:p w:rsidR="00C771A2" w:rsidRPr="00C771A2" w:rsidRDefault="00C771A2" w:rsidP="00C771A2">
            <w:pPr>
              <w:spacing w:before="80" w:after="120"/>
              <w:rPr>
                <w:rFonts w:ascii="Arial" w:hAnsi="Arial" w:cs="Arial"/>
                <w:b w:val="0"/>
              </w:rPr>
            </w:pPr>
            <w:r>
              <w:rPr>
                <w:rFonts w:ascii="Arial" w:hAnsi="Arial" w:cs="Arial"/>
                <w:b w:val="0"/>
              </w:rPr>
              <w:t>(Practice Guidelines 4 – 6)</w:t>
            </w:r>
          </w:p>
          <w:p w:rsidR="009B5522" w:rsidRPr="009B5522" w:rsidRDefault="009B5522" w:rsidP="00103AC4">
            <w:pPr>
              <w:pStyle w:val="ListParagraph"/>
              <w:spacing w:before="80" w:after="120"/>
              <w:ind w:left="360"/>
              <w:rPr>
                <w:rFonts w:ascii="Arial" w:hAnsi="Arial" w:cs="Arial"/>
                <w:b w:val="0"/>
              </w:rPr>
            </w:pPr>
          </w:p>
          <w:p w:rsidR="009B5522" w:rsidRDefault="009B5522" w:rsidP="00103AC4">
            <w:pPr>
              <w:pStyle w:val="ListParagraph"/>
              <w:spacing w:before="80" w:after="120"/>
              <w:ind w:left="360"/>
              <w:rPr>
                <w:rFonts w:ascii="Arial" w:hAnsi="Arial" w:cs="Arial"/>
                <w:b w:val="0"/>
                <w:u w:val="single"/>
              </w:rPr>
            </w:pPr>
          </w:p>
          <w:p w:rsidR="004A404D" w:rsidRPr="004A404D" w:rsidRDefault="009B5522" w:rsidP="004A79D5">
            <w:pPr>
              <w:pStyle w:val="ListParagraph"/>
              <w:spacing w:before="80" w:after="120"/>
              <w:ind w:left="360"/>
              <w:rPr>
                <w:rFonts w:ascii="Arial" w:hAnsi="Arial" w:cs="Arial"/>
                <w:b w:val="0"/>
                <w:u w:val="single"/>
              </w:rPr>
            </w:pPr>
            <w:r>
              <w:rPr>
                <w:rFonts w:ascii="Arial" w:hAnsi="Arial" w:cs="Arial"/>
                <w:b w:val="0"/>
                <w:u w:val="single"/>
              </w:rPr>
              <w:t xml:space="preserve"> </w:t>
            </w:r>
          </w:p>
        </w:tc>
        <w:tc>
          <w:tcPr>
            <w:tcW w:w="7513" w:type="dxa"/>
          </w:tcPr>
          <w:p w:rsidR="009B5522" w:rsidRPr="00311890" w:rsidRDefault="00B53B6E" w:rsidP="00B53B6E">
            <w:pPr>
              <w:pStyle w:val="ListParagraph"/>
              <w:numPr>
                <w:ilvl w:val="1"/>
                <w:numId w:val="1"/>
              </w:numPr>
              <w:spacing w:before="80" w:after="120"/>
              <w:rPr>
                <w:color w:val="385623" w:themeColor="accent6" w:themeShade="80"/>
                <w:sz w:val="28"/>
                <w:szCs w:val="28"/>
                <w:u w:val="single"/>
              </w:rPr>
            </w:pPr>
            <w:r>
              <w:rPr>
                <w:sz w:val="28"/>
                <w:szCs w:val="28"/>
                <w:u w:val="single"/>
              </w:rPr>
              <w:t xml:space="preserve"> </w:t>
            </w:r>
            <w:r w:rsidR="009B5522" w:rsidRPr="00311890">
              <w:rPr>
                <w:color w:val="385623" w:themeColor="accent6" w:themeShade="80"/>
                <w:sz w:val="28"/>
                <w:szCs w:val="28"/>
                <w:u w:val="single"/>
              </w:rPr>
              <w:t>Existing vacancy pathway</w:t>
            </w:r>
          </w:p>
          <w:p w:rsidR="009B5522" w:rsidRDefault="00496D9D" w:rsidP="00496D9D">
            <w:pPr>
              <w:pStyle w:val="ListParagraph"/>
              <w:numPr>
                <w:ilvl w:val="0"/>
                <w:numId w:val="5"/>
              </w:numPr>
              <w:spacing w:before="80" w:after="120"/>
            </w:pPr>
            <w:r w:rsidRPr="00496D9D">
              <w:t xml:space="preserve">Detailed </w:t>
            </w:r>
            <w:r>
              <w:t xml:space="preserve">job seeker profile and career plan </w:t>
            </w:r>
          </w:p>
          <w:p w:rsidR="00496D9D" w:rsidRPr="00496D9D" w:rsidRDefault="00496D9D" w:rsidP="00496D9D">
            <w:pPr>
              <w:pStyle w:val="ListParagraph"/>
              <w:numPr>
                <w:ilvl w:val="0"/>
                <w:numId w:val="5"/>
              </w:numPr>
              <w:spacing w:before="80" w:after="120"/>
            </w:pPr>
            <w:r>
              <w:t>CV preparation</w:t>
            </w:r>
          </w:p>
          <w:p w:rsidR="00496D9D" w:rsidRDefault="00496D9D" w:rsidP="00496D9D">
            <w:pPr>
              <w:pStyle w:val="ListParagraph"/>
              <w:numPr>
                <w:ilvl w:val="0"/>
                <w:numId w:val="5"/>
              </w:numPr>
              <w:spacing w:before="80" w:after="120"/>
            </w:pPr>
            <w:r>
              <w:t>Job search and interview support</w:t>
            </w:r>
            <w:r w:rsidR="006A4B32">
              <w:t>/coaching</w:t>
            </w:r>
          </w:p>
          <w:p w:rsidR="00496D9D" w:rsidRDefault="00496D9D" w:rsidP="00496D9D">
            <w:pPr>
              <w:pStyle w:val="ListParagraph"/>
              <w:numPr>
                <w:ilvl w:val="0"/>
                <w:numId w:val="5"/>
              </w:numPr>
              <w:spacing w:before="80" w:after="120"/>
            </w:pPr>
            <w:r>
              <w:t>Employment proposal (including accommodations and support plan)</w:t>
            </w:r>
          </w:p>
          <w:p w:rsidR="00056D6F" w:rsidRPr="00056D6F" w:rsidRDefault="00496D9D" w:rsidP="00056D6F">
            <w:pPr>
              <w:pStyle w:val="ListParagraph"/>
              <w:numPr>
                <w:ilvl w:val="0"/>
                <w:numId w:val="5"/>
              </w:numPr>
              <w:spacing w:before="80" w:after="120"/>
            </w:pPr>
            <w:r>
              <w:t>Employment offer and negotiation</w:t>
            </w:r>
          </w:p>
          <w:p w:rsidR="009B5522" w:rsidRPr="005A13D7" w:rsidRDefault="00B53B6E" w:rsidP="00B53B6E">
            <w:pPr>
              <w:pStyle w:val="ListParagraph"/>
              <w:numPr>
                <w:ilvl w:val="1"/>
                <w:numId w:val="1"/>
              </w:numPr>
              <w:spacing w:before="80" w:after="120"/>
              <w:rPr>
                <w:color w:val="385623" w:themeColor="accent6" w:themeShade="80"/>
                <w:sz w:val="28"/>
                <w:szCs w:val="28"/>
                <w:u w:val="single"/>
              </w:rPr>
            </w:pPr>
            <w:r w:rsidRPr="005A13D7">
              <w:rPr>
                <w:color w:val="385623" w:themeColor="accent6" w:themeShade="80"/>
                <w:sz w:val="28"/>
                <w:szCs w:val="28"/>
                <w:u w:val="single"/>
              </w:rPr>
              <w:t xml:space="preserve"> </w:t>
            </w:r>
            <w:r w:rsidR="00106665" w:rsidRPr="005A13D7">
              <w:rPr>
                <w:color w:val="385623" w:themeColor="accent6" w:themeShade="80"/>
                <w:sz w:val="28"/>
                <w:szCs w:val="28"/>
                <w:u w:val="single"/>
              </w:rPr>
              <w:t xml:space="preserve">Partially </w:t>
            </w:r>
            <w:r w:rsidR="00E656E5" w:rsidRPr="005A13D7">
              <w:rPr>
                <w:color w:val="385623" w:themeColor="accent6" w:themeShade="80"/>
                <w:sz w:val="28"/>
                <w:szCs w:val="28"/>
                <w:u w:val="single"/>
              </w:rPr>
              <w:t>c</w:t>
            </w:r>
            <w:r w:rsidR="009B5522" w:rsidRPr="005A13D7">
              <w:rPr>
                <w:color w:val="385623" w:themeColor="accent6" w:themeShade="80"/>
                <w:sz w:val="28"/>
                <w:szCs w:val="28"/>
                <w:u w:val="single"/>
              </w:rPr>
              <w:t>ustomised pathway</w:t>
            </w:r>
            <w:r w:rsidR="003C313F" w:rsidRPr="005A13D7">
              <w:rPr>
                <w:color w:val="385623" w:themeColor="accent6" w:themeShade="80"/>
                <w:sz w:val="28"/>
                <w:szCs w:val="28"/>
                <w:u w:val="single"/>
              </w:rPr>
              <w:t xml:space="preserve">   </w:t>
            </w:r>
          </w:p>
          <w:p w:rsidR="003C313F" w:rsidRDefault="003C313F" w:rsidP="00B03EB3">
            <w:pPr>
              <w:pStyle w:val="ListParagraph"/>
              <w:numPr>
                <w:ilvl w:val="0"/>
                <w:numId w:val="7"/>
              </w:numPr>
              <w:spacing w:before="80" w:after="120"/>
            </w:pPr>
            <w:r>
              <w:t>Existing vacancy but with modifications/adaptations to tasks/role</w:t>
            </w:r>
          </w:p>
          <w:p w:rsidR="00E656E5" w:rsidRDefault="00E656E5" w:rsidP="003C313F">
            <w:pPr>
              <w:pStyle w:val="ListParagraph"/>
              <w:numPr>
                <w:ilvl w:val="0"/>
                <w:numId w:val="7"/>
              </w:numPr>
              <w:spacing w:before="80" w:after="120"/>
            </w:pPr>
            <w:r>
              <w:t>Some discovery process /job exploration activity</w:t>
            </w:r>
            <w:r w:rsidR="003C313F">
              <w:t>; minor to moderate</w:t>
            </w:r>
            <w:r w:rsidRPr="003C313F">
              <w:t xml:space="preserve"> job carving analysis</w:t>
            </w:r>
          </w:p>
          <w:p w:rsidR="006A4B32" w:rsidRPr="003C313F" w:rsidRDefault="006A4B32" w:rsidP="003C313F">
            <w:pPr>
              <w:pStyle w:val="ListParagraph"/>
              <w:numPr>
                <w:ilvl w:val="0"/>
                <w:numId w:val="7"/>
              </w:numPr>
              <w:spacing w:before="80" w:after="120"/>
            </w:pPr>
            <w:r>
              <w:t>Coaching and mentoring</w:t>
            </w:r>
            <w:r w:rsidR="00BB3C33">
              <w:t>/pastoral</w:t>
            </w:r>
            <w:r>
              <w:t xml:space="preserve"> support</w:t>
            </w:r>
          </w:p>
          <w:p w:rsidR="00E656E5" w:rsidRDefault="00E656E5" w:rsidP="00B03EB3">
            <w:pPr>
              <w:pStyle w:val="ListParagraph"/>
              <w:numPr>
                <w:ilvl w:val="0"/>
                <w:numId w:val="7"/>
              </w:numPr>
              <w:spacing w:before="80" w:after="120"/>
            </w:pPr>
            <w:r>
              <w:t>Job development proposal including accommodations and adaptations</w:t>
            </w:r>
          </w:p>
          <w:p w:rsidR="00E656E5" w:rsidRDefault="00E656E5" w:rsidP="00B03EB3">
            <w:pPr>
              <w:pStyle w:val="ListParagraph"/>
              <w:numPr>
                <w:ilvl w:val="0"/>
                <w:numId w:val="7"/>
              </w:numPr>
              <w:spacing w:before="80" w:after="120"/>
            </w:pPr>
            <w:r>
              <w:t>Initial in work support plan</w:t>
            </w:r>
          </w:p>
          <w:p w:rsidR="00056D6F" w:rsidRPr="00056D6F" w:rsidRDefault="00E656E5" w:rsidP="00056D6F">
            <w:pPr>
              <w:pStyle w:val="ListParagraph"/>
              <w:numPr>
                <w:ilvl w:val="0"/>
                <w:numId w:val="7"/>
              </w:numPr>
              <w:spacing w:before="80" w:after="120"/>
            </w:pPr>
            <w:r>
              <w:t>Proposal negotiation and agreement</w:t>
            </w:r>
          </w:p>
          <w:p w:rsidR="00E656E5" w:rsidRPr="00311890" w:rsidRDefault="00B53B6E" w:rsidP="00B53B6E">
            <w:pPr>
              <w:pStyle w:val="ListParagraph"/>
              <w:numPr>
                <w:ilvl w:val="1"/>
                <w:numId w:val="1"/>
              </w:numPr>
              <w:spacing w:before="80" w:after="120"/>
              <w:rPr>
                <w:color w:val="385623" w:themeColor="accent6" w:themeShade="80"/>
                <w:sz w:val="28"/>
                <w:szCs w:val="28"/>
                <w:u w:val="single"/>
              </w:rPr>
            </w:pPr>
            <w:r>
              <w:rPr>
                <w:sz w:val="28"/>
                <w:szCs w:val="28"/>
                <w:u w:val="single"/>
              </w:rPr>
              <w:t xml:space="preserve"> </w:t>
            </w:r>
            <w:r w:rsidR="00E656E5" w:rsidRPr="00311890">
              <w:rPr>
                <w:color w:val="385623" w:themeColor="accent6" w:themeShade="80"/>
                <w:sz w:val="28"/>
                <w:szCs w:val="28"/>
                <w:u w:val="single"/>
              </w:rPr>
              <w:t>Fully Customised Pathway</w:t>
            </w:r>
          </w:p>
          <w:p w:rsidR="00E656E5" w:rsidRPr="00E656E5" w:rsidRDefault="00E656E5" w:rsidP="00E656E5">
            <w:pPr>
              <w:pStyle w:val="ListParagraph"/>
              <w:numPr>
                <w:ilvl w:val="0"/>
                <w:numId w:val="7"/>
              </w:numPr>
              <w:spacing w:before="80" w:after="120"/>
            </w:pPr>
            <w:r>
              <w:t>Comprehensive discovery process</w:t>
            </w:r>
          </w:p>
          <w:p w:rsidR="00E656E5" w:rsidRDefault="00E656E5" w:rsidP="00E656E5">
            <w:pPr>
              <w:pStyle w:val="ListParagraph"/>
              <w:numPr>
                <w:ilvl w:val="0"/>
                <w:numId w:val="7"/>
              </w:numPr>
              <w:spacing w:before="80" w:after="120"/>
            </w:pPr>
            <w:r>
              <w:t>Employer research including comprehensive job carving analysis</w:t>
            </w:r>
          </w:p>
          <w:p w:rsidR="00E656E5" w:rsidRDefault="00E656E5" w:rsidP="00E656E5">
            <w:pPr>
              <w:pStyle w:val="ListParagraph"/>
              <w:numPr>
                <w:ilvl w:val="0"/>
                <w:numId w:val="7"/>
              </w:numPr>
              <w:spacing w:before="80" w:after="120"/>
            </w:pPr>
            <w:r>
              <w:t>Job development proposal/s (customised employment opportunity)</w:t>
            </w:r>
          </w:p>
          <w:p w:rsidR="00E656E5" w:rsidRDefault="00E656E5" w:rsidP="00E656E5">
            <w:pPr>
              <w:pStyle w:val="ListParagraph"/>
              <w:numPr>
                <w:ilvl w:val="0"/>
                <w:numId w:val="7"/>
              </w:numPr>
              <w:spacing w:before="80" w:after="120"/>
            </w:pPr>
            <w:r>
              <w:t>Initial in work support plan</w:t>
            </w:r>
          </w:p>
          <w:p w:rsidR="006A4B32" w:rsidRDefault="006A4B32" w:rsidP="00E656E5">
            <w:pPr>
              <w:pStyle w:val="ListParagraph"/>
              <w:numPr>
                <w:ilvl w:val="0"/>
                <w:numId w:val="7"/>
              </w:numPr>
              <w:spacing w:before="80" w:after="120"/>
            </w:pPr>
            <w:r>
              <w:t>Coaching and mentoring support</w:t>
            </w:r>
            <w:r w:rsidR="00BB3C33">
              <w:t>; pastoral support</w:t>
            </w:r>
          </w:p>
          <w:p w:rsidR="00E656E5" w:rsidRDefault="00E656E5" w:rsidP="006A4B32">
            <w:pPr>
              <w:pStyle w:val="ListParagraph"/>
              <w:numPr>
                <w:ilvl w:val="0"/>
                <w:numId w:val="7"/>
              </w:numPr>
              <w:spacing w:before="80" w:after="120"/>
            </w:pPr>
            <w:r>
              <w:t>Proposal negotiation and agreement (placement)</w:t>
            </w:r>
          </w:p>
          <w:p w:rsidR="007551DE" w:rsidRDefault="007551DE" w:rsidP="006A4B32">
            <w:pPr>
              <w:pStyle w:val="ListParagraph"/>
              <w:numPr>
                <w:ilvl w:val="0"/>
                <w:numId w:val="7"/>
              </w:numPr>
              <w:spacing w:before="80" w:after="120"/>
            </w:pPr>
            <w:r>
              <w:t>Self-employment/micro enterprise proposal and plan</w:t>
            </w:r>
          </w:p>
          <w:p w:rsidR="00B03EB3" w:rsidRPr="00056D6F" w:rsidRDefault="00B53B6E" w:rsidP="00056D6F">
            <w:pPr>
              <w:pStyle w:val="ListParagraph"/>
              <w:numPr>
                <w:ilvl w:val="1"/>
                <w:numId w:val="1"/>
              </w:numPr>
              <w:spacing w:before="80" w:after="120"/>
              <w:rPr>
                <w:color w:val="385623" w:themeColor="accent6" w:themeShade="80"/>
                <w:sz w:val="28"/>
                <w:szCs w:val="28"/>
                <w:u w:val="single"/>
              </w:rPr>
            </w:pPr>
            <w:r w:rsidRPr="00056D6F">
              <w:rPr>
                <w:sz w:val="28"/>
                <w:szCs w:val="28"/>
                <w:u w:val="single"/>
              </w:rPr>
              <w:t xml:space="preserve"> </w:t>
            </w:r>
            <w:r w:rsidR="00B03EB3" w:rsidRPr="00056D6F">
              <w:rPr>
                <w:color w:val="385623" w:themeColor="accent6" w:themeShade="80"/>
                <w:sz w:val="28"/>
                <w:szCs w:val="28"/>
                <w:u w:val="single"/>
              </w:rPr>
              <w:t xml:space="preserve">Training pathway </w:t>
            </w:r>
          </w:p>
          <w:p w:rsidR="003C313F" w:rsidRDefault="003C313F" w:rsidP="003C313F">
            <w:pPr>
              <w:pStyle w:val="ListParagraph"/>
              <w:numPr>
                <w:ilvl w:val="0"/>
                <w:numId w:val="18"/>
              </w:numPr>
              <w:spacing w:before="80" w:after="120"/>
            </w:pPr>
            <w:r>
              <w:t>Prior to leaving school:</w:t>
            </w:r>
          </w:p>
          <w:p w:rsidR="003C313F" w:rsidRDefault="00D80B65" w:rsidP="003C313F">
            <w:pPr>
              <w:pStyle w:val="ListParagraph"/>
              <w:numPr>
                <w:ilvl w:val="0"/>
                <w:numId w:val="19"/>
              </w:numPr>
              <w:spacing w:before="80" w:after="120"/>
            </w:pPr>
            <w:r>
              <w:t xml:space="preserve">Planning and engagement in </w:t>
            </w:r>
            <w:r w:rsidR="003C313F">
              <w:t>Job exploration, work experience, internships, vocational</w:t>
            </w:r>
            <w:r w:rsidR="00BB3C33">
              <w:t>/tertiary</w:t>
            </w:r>
            <w:r w:rsidR="003C313F">
              <w:t xml:space="preserve"> </w:t>
            </w:r>
            <w:r w:rsidR="00BB3C33">
              <w:t xml:space="preserve">training </w:t>
            </w:r>
            <w:r w:rsidR="003C313F">
              <w:t>pathways</w:t>
            </w:r>
          </w:p>
          <w:p w:rsidR="003C313F" w:rsidRDefault="00C0352A" w:rsidP="003C313F">
            <w:pPr>
              <w:pStyle w:val="ListParagraph"/>
              <w:numPr>
                <w:ilvl w:val="0"/>
                <w:numId w:val="19"/>
              </w:numPr>
              <w:spacing w:before="80" w:after="120"/>
            </w:pPr>
            <w:r>
              <w:t>12-</w:t>
            </w:r>
            <w:r w:rsidR="00D80B65">
              <w:t>month activity and support plan</w:t>
            </w:r>
          </w:p>
          <w:p w:rsidR="003C313F" w:rsidRPr="003C313F" w:rsidRDefault="003C313F" w:rsidP="003C313F">
            <w:pPr>
              <w:pStyle w:val="ListParagraph"/>
              <w:numPr>
                <w:ilvl w:val="0"/>
                <w:numId w:val="18"/>
              </w:numPr>
              <w:spacing w:before="80" w:after="120"/>
            </w:pPr>
            <w:r>
              <w:t>Post school</w:t>
            </w:r>
          </w:p>
          <w:p w:rsidR="00B03EB3" w:rsidRPr="003C313F" w:rsidRDefault="00B03EB3" w:rsidP="003C313F">
            <w:pPr>
              <w:pStyle w:val="ListParagraph"/>
              <w:numPr>
                <w:ilvl w:val="0"/>
                <w:numId w:val="19"/>
              </w:numPr>
              <w:spacing w:before="80" w:after="120"/>
            </w:pPr>
            <w:r w:rsidRPr="003C313F">
              <w:t xml:space="preserve">Identification of </w:t>
            </w:r>
            <w:r w:rsidR="00DC1F67" w:rsidRPr="003C313F">
              <w:t xml:space="preserve">suitable/accessible </w:t>
            </w:r>
            <w:r w:rsidRPr="003C313F">
              <w:t>training opportunity</w:t>
            </w:r>
            <w:r w:rsidR="003C313F">
              <w:t xml:space="preserve"> specifically</w:t>
            </w:r>
            <w:r w:rsidRPr="003C313F">
              <w:t xml:space="preserve"> linked to employment goals</w:t>
            </w:r>
          </w:p>
          <w:p w:rsidR="00103AC4" w:rsidRPr="00DC1F67" w:rsidRDefault="00B03EB3" w:rsidP="003C313F">
            <w:pPr>
              <w:pStyle w:val="ListParagraph"/>
              <w:numPr>
                <w:ilvl w:val="0"/>
                <w:numId w:val="19"/>
              </w:numPr>
              <w:spacing w:before="80" w:after="120"/>
            </w:pPr>
            <w:r>
              <w:t>Training support plan</w:t>
            </w:r>
            <w:r w:rsidR="002D3D5F">
              <w:t xml:space="preserve"> including access needs</w:t>
            </w:r>
          </w:p>
        </w:tc>
        <w:tc>
          <w:tcPr>
            <w:tcW w:w="1275" w:type="dxa"/>
          </w:tcPr>
          <w:p w:rsidR="004A404D" w:rsidRDefault="00106665" w:rsidP="004A79D5">
            <w:pPr>
              <w:spacing w:before="80" w:after="120"/>
            </w:pPr>
            <w:r>
              <w:t>20</w:t>
            </w:r>
            <w:r w:rsidR="00672F2D">
              <w:t>hrs</w:t>
            </w:r>
          </w:p>
          <w:p w:rsidR="00672F2D" w:rsidRDefault="00672F2D" w:rsidP="004A79D5">
            <w:pPr>
              <w:spacing w:before="80" w:after="120"/>
            </w:pPr>
          </w:p>
          <w:p w:rsidR="003C313F" w:rsidRDefault="003C313F" w:rsidP="004A79D5">
            <w:pPr>
              <w:spacing w:before="80" w:after="120"/>
            </w:pPr>
          </w:p>
          <w:p w:rsidR="00B53B6E" w:rsidRDefault="00B53B6E" w:rsidP="009D5EC6">
            <w:pPr>
              <w:spacing w:before="80" w:after="80"/>
            </w:pPr>
          </w:p>
          <w:p w:rsidR="00B53B6E" w:rsidRPr="00A31AB2" w:rsidRDefault="00B53B6E" w:rsidP="00A31AB2">
            <w:pPr>
              <w:spacing w:before="80"/>
              <w:rPr>
                <w:sz w:val="16"/>
                <w:szCs w:val="16"/>
              </w:rPr>
            </w:pPr>
          </w:p>
          <w:p w:rsidR="00672F2D" w:rsidRDefault="00106665" w:rsidP="004A79D5">
            <w:pPr>
              <w:spacing w:before="80" w:after="120"/>
            </w:pPr>
            <w:r>
              <w:t>40</w:t>
            </w:r>
            <w:r w:rsidR="003C313F">
              <w:t>hrs</w:t>
            </w:r>
          </w:p>
          <w:p w:rsidR="00672F2D" w:rsidRDefault="00672F2D" w:rsidP="004A79D5">
            <w:pPr>
              <w:spacing w:before="80" w:after="120"/>
            </w:pPr>
          </w:p>
          <w:p w:rsidR="00672F2D" w:rsidRDefault="00672F2D" w:rsidP="004A79D5">
            <w:pPr>
              <w:spacing w:before="80" w:after="120"/>
            </w:pPr>
          </w:p>
          <w:p w:rsidR="003C313F" w:rsidRDefault="003C313F" w:rsidP="004A79D5">
            <w:pPr>
              <w:spacing w:before="80" w:after="120"/>
            </w:pPr>
          </w:p>
          <w:p w:rsidR="00B53B6E" w:rsidRDefault="00B53B6E" w:rsidP="009D5EC6">
            <w:pPr>
              <w:spacing w:before="80"/>
              <w:rPr>
                <w:sz w:val="20"/>
                <w:szCs w:val="20"/>
              </w:rPr>
            </w:pPr>
          </w:p>
          <w:p w:rsidR="009D5EC6" w:rsidRPr="009D5EC6" w:rsidRDefault="009D5EC6" w:rsidP="009D5EC6">
            <w:pPr>
              <w:spacing w:before="80"/>
              <w:rPr>
                <w:sz w:val="20"/>
                <w:szCs w:val="20"/>
              </w:rPr>
            </w:pPr>
          </w:p>
          <w:p w:rsidR="00672F2D" w:rsidRDefault="00B26803" w:rsidP="004A79D5">
            <w:pPr>
              <w:spacing w:before="80" w:after="120"/>
            </w:pPr>
            <w:r>
              <w:t>90</w:t>
            </w:r>
            <w:r w:rsidR="00672F2D">
              <w:t>hrs</w:t>
            </w:r>
          </w:p>
          <w:p w:rsidR="00672F2D" w:rsidRDefault="00672F2D" w:rsidP="004A79D5">
            <w:pPr>
              <w:spacing w:before="80" w:after="120"/>
            </w:pPr>
          </w:p>
          <w:p w:rsidR="00672F2D" w:rsidRDefault="00672F2D" w:rsidP="004A79D5">
            <w:pPr>
              <w:spacing w:before="80" w:after="120"/>
            </w:pPr>
          </w:p>
          <w:p w:rsidR="00672F2D" w:rsidRDefault="00672F2D" w:rsidP="004A79D5">
            <w:pPr>
              <w:spacing w:before="80" w:after="120"/>
            </w:pPr>
          </w:p>
          <w:p w:rsidR="00672F2D" w:rsidRDefault="00672F2D" w:rsidP="004A79D5">
            <w:pPr>
              <w:spacing w:before="80" w:after="120"/>
            </w:pPr>
          </w:p>
          <w:p w:rsidR="00B53B6E" w:rsidRDefault="00EC0881" w:rsidP="004A79D5">
            <w:pPr>
              <w:spacing w:before="80" w:after="120"/>
            </w:pPr>
            <w:r>
              <w:t xml:space="preserve"> </w:t>
            </w:r>
          </w:p>
          <w:p w:rsidR="004878D3" w:rsidRDefault="004878D3" w:rsidP="004A79D5">
            <w:pPr>
              <w:spacing w:before="80" w:after="120"/>
            </w:pPr>
          </w:p>
          <w:p w:rsidR="003C313F" w:rsidRDefault="00D80B65" w:rsidP="004A79D5">
            <w:pPr>
              <w:spacing w:before="80" w:after="120"/>
            </w:pPr>
            <w:r>
              <w:t>30</w:t>
            </w:r>
            <w:r w:rsidR="00EC0881">
              <w:t>hrs</w:t>
            </w:r>
          </w:p>
          <w:p w:rsidR="003C313F" w:rsidRDefault="003C313F" w:rsidP="004A79D5">
            <w:pPr>
              <w:spacing w:before="80" w:after="120"/>
            </w:pPr>
          </w:p>
          <w:p w:rsidR="004878D3" w:rsidRDefault="004878D3" w:rsidP="004A79D5">
            <w:pPr>
              <w:spacing w:before="80" w:after="120"/>
            </w:pPr>
          </w:p>
          <w:p w:rsidR="003C313F" w:rsidRDefault="003C313F" w:rsidP="004A79D5">
            <w:pPr>
              <w:spacing w:before="80" w:after="120"/>
            </w:pPr>
            <w:r>
              <w:t>10hrs</w:t>
            </w:r>
          </w:p>
        </w:tc>
        <w:tc>
          <w:tcPr>
            <w:tcW w:w="1560" w:type="dxa"/>
          </w:tcPr>
          <w:p w:rsidR="004A404D" w:rsidRDefault="00D60FA1" w:rsidP="004A79D5">
            <w:pPr>
              <w:spacing w:before="80" w:after="120"/>
            </w:pPr>
            <w:r>
              <w:t>$1200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0E0D5E" w:rsidRPr="000E0D5E" w:rsidRDefault="000E0D5E" w:rsidP="004A79D5">
            <w:pPr>
              <w:spacing w:before="80" w:after="120"/>
              <w:rPr>
                <w:sz w:val="8"/>
                <w:szCs w:val="8"/>
              </w:rPr>
            </w:pPr>
          </w:p>
          <w:p w:rsidR="00D60FA1" w:rsidRDefault="00D60FA1" w:rsidP="004A79D5">
            <w:pPr>
              <w:spacing w:before="80" w:after="120"/>
            </w:pPr>
            <w:r>
              <w:t>$2,400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0E0D5E" w:rsidRPr="000E0D5E" w:rsidRDefault="000E0D5E" w:rsidP="004A79D5">
            <w:pPr>
              <w:spacing w:before="80" w:after="120"/>
              <w:rPr>
                <w:sz w:val="8"/>
                <w:szCs w:val="8"/>
              </w:rPr>
            </w:pPr>
          </w:p>
          <w:p w:rsidR="00D60FA1" w:rsidRDefault="00D60FA1" w:rsidP="004A79D5">
            <w:pPr>
              <w:spacing w:before="80" w:after="120"/>
            </w:pPr>
            <w:r>
              <w:t>$5,400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r>
              <w:t>$1,800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r>
              <w:t>$600</w:t>
            </w:r>
          </w:p>
        </w:tc>
      </w:tr>
      <w:tr w:rsidR="004A404D" w:rsidTr="004A404D">
        <w:tc>
          <w:tcPr>
            <w:tcW w:w="3681" w:type="dxa"/>
          </w:tcPr>
          <w:p w:rsidR="004A404D" w:rsidRPr="00311890" w:rsidRDefault="004A21F0" w:rsidP="00B53B6E">
            <w:pPr>
              <w:pStyle w:val="ListParagraph"/>
              <w:numPr>
                <w:ilvl w:val="0"/>
                <w:numId w:val="1"/>
              </w:numPr>
              <w:spacing w:before="80" w:after="120"/>
              <w:rPr>
                <w:rFonts w:ascii="Arial" w:hAnsi="Arial" w:cs="Arial"/>
                <w:color w:val="1F3864" w:themeColor="accent5" w:themeShade="80"/>
                <w:u w:val="single"/>
              </w:rPr>
            </w:pPr>
            <w:r w:rsidRPr="00311890">
              <w:rPr>
                <w:rFonts w:ascii="Arial" w:hAnsi="Arial" w:cs="Arial"/>
                <w:color w:val="1F3864" w:themeColor="accent5" w:themeShade="80"/>
                <w:u w:val="single"/>
              </w:rPr>
              <w:t>Continuing employment milestone 3 months</w:t>
            </w:r>
          </w:p>
          <w:p w:rsidR="00C771A2" w:rsidRDefault="00C771A2" w:rsidP="00C771A2">
            <w:pPr>
              <w:spacing w:before="80" w:after="120"/>
              <w:rPr>
                <w:rFonts w:ascii="Arial" w:hAnsi="Arial" w:cs="Arial"/>
                <w:b w:val="0"/>
                <w:u w:val="single"/>
              </w:rPr>
            </w:pPr>
          </w:p>
          <w:p w:rsidR="00C771A2" w:rsidRPr="00C771A2" w:rsidRDefault="00C771A2" w:rsidP="00C771A2">
            <w:pPr>
              <w:spacing w:before="80" w:after="120"/>
              <w:rPr>
                <w:rFonts w:ascii="Arial" w:hAnsi="Arial" w:cs="Arial"/>
                <w:b w:val="0"/>
              </w:rPr>
            </w:pPr>
            <w:r>
              <w:rPr>
                <w:rFonts w:ascii="Arial" w:hAnsi="Arial" w:cs="Arial"/>
                <w:b w:val="0"/>
              </w:rPr>
              <w:t>(</w:t>
            </w:r>
            <w:r w:rsidRPr="00C771A2">
              <w:rPr>
                <w:rFonts w:ascii="Arial" w:hAnsi="Arial" w:cs="Arial"/>
                <w:b w:val="0"/>
              </w:rPr>
              <w:t xml:space="preserve">Practice Guidelines 4 </w:t>
            </w:r>
            <w:r>
              <w:rPr>
                <w:rFonts w:ascii="Arial" w:hAnsi="Arial" w:cs="Arial"/>
                <w:b w:val="0"/>
              </w:rPr>
              <w:t>–</w:t>
            </w:r>
            <w:r w:rsidRPr="00C771A2">
              <w:rPr>
                <w:rFonts w:ascii="Arial" w:hAnsi="Arial" w:cs="Arial"/>
                <w:b w:val="0"/>
              </w:rPr>
              <w:t xml:space="preserve"> 6</w:t>
            </w:r>
            <w:r>
              <w:rPr>
                <w:rFonts w:ascii="Arial" w:hAnsi="Arial" w:cs="Arial"/>
                <w:b w:val="0"/>
              </w:rPr>
              <w:t>)</w:t>
            </w:r>
          </w:p>
          <w:p w:rsidR="004A404D" w:rsidRPr="004A404D" w:rsidRDefault="004A404D" w:rsidP="004A79D5">
            <w:pPr>
              <w:pStyle w:val="ListParagraph"/>
              <w:spacing w:before="80" w:after="120"/>
              <w:ind w:left="360"/>
              <w:rPr>
                <w:rFonts w:ascii="Arial" w:hAnsi="Arial" w:cs="Arial"/>
                <w:b w:val="0"/>
                <w:u w:val="single"/>
              </w:rPr>
            </w:pPr>
          </w:p>
        </w:tc>
        <w:tc>
          <w:tcPr>
            <w:tcW w:w="7513" w:type="dxa"/>
          </w:tcPr>
          <w:p w:rsidR="004A404D" w:rsidRPr="00311890" w:rsidRDefault="00B53B6E" w:rsidP="00B53B6E">
            <w:pPr>
              <w:pStyle w:val="ListParagraph"/>
              <w:numPr>
                <w:ilvl w:val="1"/>
                <w:numId w:val="1"/>
              </w:numPr>
              <w:spacing w:before="80" w:after="120"/>
              <w:rPr>
                <w:color w:val="385623" w:themeColor="accent6" w:themeShade="80"/>
                <w:sz w:val="28"/>
                <w:szCs w:val="28"/>
                <w:u w:val="single"/>
              </w:rPr>
            </w:pPr>
            <w:r>
              <w:rPr>
                <w:sz w:val="28"/>
                <w:szCs w:val="28"/>
                <w:u w:val="single"/>
              </w:rPr>
              <w:t xml:space="preserve"> </w:t>
            </w:r>
            <w:r w:rsidR="00A24B3B" w:rsidRPr="00311890">
              <w:rPr>
                <w:color w:val="385623" w:themeColor="accent6" w:themeShade="80"/>
                <w:sz w:val="28"/>
                <w:szCs w:val="28"/>
                <w:u w:val="single"/>
              </w:rPr>
              <w:t>Existing vacancy pathway</w:t>
            </w:r>
          </w:p>
          <w:p w:rsidR="00A24B3B" w:rsidRDefault="00495A08" w:rsidP="00B958D6">
            <w:pPr>
              <w:pStyle w:val="ListParagraph"/>
              <w:numPr>
                <w:ilvl w:val="0"/>
                <w:numId w:val="9"/>
              </w:numPr>
              <w:spacing w:before="80" w:after="120"/>
            </w:pPr>
            <w:r>
              <w:t>Monitor</w:t>
            </w:r>
            <w:r w:rsidR="002D3D5F">
              <w:t>ing of support plan</w:t>
            </w:r>
            <w:r w:rsidR="005E384C">
              <w:t>/accommodations</w:t>
            </w:r>
            <w:r w:rsidR="006A4B32">
              <w:t>; coaching and mentoring</w:t>
            </w:r>
          </w:p>
          <w:p w:rsidR="00495A08" w:rsidRDefault="00495A08" w:rsidP="00B958D6">
            <w:pPr>
              <w:pStyle w:val="ListParagraph"/>
              <w:numPr>
                <w:ilvl w:val="0"/>
                <w:numId w:val="9"/>
              </w:numPr>
              <w:spacing w:before="80" w:after="120"/>
            </w:pPr>
            <w:r>
              <w:t xml:space="preserve">Employer and employee liaison and feedback </w:t>
            </w:r>
          </w:p>
          <w:p w:rsidR="002D3D5F" w:rsidRPr="00DC1F67" w:rsidRDefault="00495A08" w:rsidP="00DC1F67">
            <w:pPr>
              <w:pStyle w:val="ListParagraph"/>
              <w:numPr>
                <w:ilvl w:val="0"/>
                <w:numId w:val="9"/>
              </w:numPr>
              <w:spacing w:before="80" w:after="120"/>
            </w:pPr>
            <w:r>
              <w:t>Changes and shaping of support in response to feedback</w:t>
            </w:r>
          </w:p>
          <w:p w:rsidR="00495A08" w:rsidRPr="00B958D6" w:rsidRDefault="00495A08" w:rsidP="00B958D6">
            <w:pPr>
              <w:pStyle w:val="ListParagraph"/>
              <w:numPr>
                <w:ilvl w:val="0"/>
                <w:numId w:val="9"/>
              </w:numPr>
              <w:spacing w:before="80" w:after="120"/>
            </w:pPr>
            <w:r>
              <w:t>Fade to natural supports</w:t>
            </w:r>
          </w:p>
          <w:p w:rsidR="00A24B3B" w:rsidRPr="00CB350E" w:rsidRDefault="00B53B6E" w:rsidP="00B53B6E">
            <w:pPr>
              <w:pStyle w:val="ListParagraph"/>
              <w:numPr>
                <w:ilvl w:val="1"/>
                <w:numId w:val="1"/>
              </w:numPr>
              <w:spacing w:before="80" w:after="120"/>
              <w:rPr>
                <w:color w:val="385623" w:themeColor="accent6" w:themeShade="80"/>
                <w:sz w:val="28"/>
                <w:szCs w:val="28"/>
                <w:u w:val="single"/>
              </w:rPr>
            </w:pPr>
            <w:r>
              <w:rPr>
                <w:sz w:val="28"/>
                <w:szCs w:val="28"/>
                <w:u w:val="single"/>
              </w:rPr>
              <w:t xml:space="preserve"> </w:t>
            </w:r>
            <w:r w:rsidR="00EC0881" w:rsidRPr="00CB350E">
              <w:rPr>
                <w:color w:val="385623" w:themeColor="accent6" w:themeShade="80"/>
                <w:sz w:val="28"/>
                <w:szCs w:val="28"/>
                <w:u w:val="single"/>
              </w:rPr>
              <w:t xml:space="preserve">Partially </w:t>
            </w:r>
            <w:r w:rsidR="00A24B3B" w:rsidRPr="00CB350E">
              <w:rPr>
                <w:color w:val="385623" w:themeColor="accent6" w:themeShade="80"/>
                <w:sz w:val="28"/>
                <w:szCs w:val="28"/>
                <w:u w:val="single"/>
              </w:rPr>
              <w:t>Customised pathway</w:t>
            </w:r>
          </w:p>
          <w:p w:rsidR="00495A08" w:rsidRDefault="00EC0881" w:rsidP="00495A08">
            <w:pPr>
              <w:pStyle w:val="ListParagraph"/>
              <w:numPr>
                <w:ilvl w:val="0"/>
                <w:numId w:val="10"/>
              </w:numPr>
              <w:spacing w:before="80" w:after="120"/>
            </w:pPr>
            <w:r>
              <w:t>I</w:t>
            </w:r>
            <w:r w:rsidR="00495A08">
              <w:t xml:space="preserve">n-work support including facilitation of co-worker relationships, </w:t>
            </w:r>
            <w:r>
              <w:t>some systematic instruction;</w:t>
            </w:r>
            <w:r w:rsidR="00495A08">
              <w:t xml:space="preserve"> on-boarding co-worker support roles</w:t>
            </w:r>
          </w:p>
          <w:p w:rsidR="00495A08" w:rsidRDefault="00495A08" w:rsidP="00495A08">
            <w:pPr>
              <w:pStyle w:val="ListParagraph"/>
              <w:numPr>
                <w:ilvl w:val="0"/>
                <w:numId w:val="10"/>
              </w:numPr>
              <w:spacing w:before="80" w:after="120"/>
            </w:pPr>
            <w:r>
              <w:lastRenderedPageBreak/>
              <w:t>Supporting co-workers/superviso</w:t>
            </w:r>
            <w:r w:rsidR="00EC0881">
              <w:t>rs in use of training techniques;</w:t>
            </w:r>
            <w:r>
              <w:t xml:space="preserve"> use of accommodations and any assistive technology</w:t>
            </w:r>
          </w:p>
          <w:p w:rsidR="00495A08" w:rsidRDefault="00DC1F67" w:rsidP="00495A08">
            <w:pPr>
              <w:pStyle w:val="ListParagraph"/>
              <w:numPr>
                <w:ilvl w:val="0"/>
                <w:numId w:val="10"/>
              </w:numPr>
              <w:spacing w:before="80" w:after="120"/>
            </w:pPr>
            <w:r>
              <w:t>Monitoring support plan</w:t>
            </w:r>
            <w:r w:rsidR="006A4B32">
              <w:t>; coaching and mentoring</w:t>
            </w:r>
            <w:r w:rsidR="00BB3C33">
              <w:t>; pastoral support</w:t>
            </w:r>
          </w:p>
          <w:p w:rsidR="00DC1F67" w:rsidRDefault="00EC0881" w:rsidP="00495A08">
            <w:pPr>
              <w:pStyle w:val="ListParagraph"/>
              <w:numPr>
                <w:ilvl w:val="0"/>
                <w:numId w:val="10"/>
              </w:numPr>
              <w:spacing w:before="80" w:after="120"/>
            </w:pPr>
            <w:r>
              <w:t>Fade</w:t>
            </w:r>
            <w:r w:rsidR="00DC1F67">
              <w:t xml:space="preserve"> to natural supports</w:t>
            </w:r>
          </w:p>
          <w:p w:rsidR="00EC0881" w:rsidRPr="00CB350E" w:rsidRDefault="00B53B6E" w:rsidP="00B53B6E">
            <w:pPr>
              <w:pStyle w:val="ListParagraph"/>
              <w:numPr>
                <w:ilvl w:val="1"/>
                <w:numId w:val="1"/>
              </w:numPr>
              <w:spacing w:before="80" w:after="120"/>
              <w:rPr>
                <w:color w:val="385623" w:themeColor="accent6" w:themeShade="80"/>
                <w:sz w:val="28"/>
                <w:szCs w:val="28"/>
                <w:u w:val="single"/>
              </w:rPr>
            </w:pPr>
            <w:r>
              <w:rPr>
                <w:sz w:val="28"/>
                <w:szCs w:val="28"/>
                <w:u w:val="single"/>
              </w:rPr>
              <w:t xml:space="preserve"> </w:t>
            </w:r>
            <w:r w:rsidR="00EC0881" w:rsidRPr="00CB350E">
              <w:rPr>
                <w:color w:val="385623" w:themeColor="accent6" w:themeShade="80"/>
                <w:sz w:val="28"/>
                <w:szCs w:val="28"/>
                <w:u w:val="single"/>
              </w:rPr>
              <w:t>Fully Customised Pathway</w:t>
            </w:r>
          </w:p>
          <w:p w:rsidR="00EC0881" w:rsidRDefault="00EC0881" w:rsidP="00EC0881">
            <w:pPr>
              <w:pStyle w:val="ListParagraph"/>
              <w:numPr>
                <w:ilvl w:val="0"/>
                <w:numId w:val="10"/>
              </w:numPr>
              <w:spacing w:before="80" w:after="120"/>
            </w:pPr>
            <w:r>
              <w:t>Comprehensive Intensive in-work support including facilitation of co-worker relationships, systematic instruction, and on-boarding co-worker support roles</w:t>
            </w:r>
          </w:p>
          <w:p w:rsidR="00EC0881" w:rsidRDefault="00EC0881" w:rsidP="00EC0881">
            <w:pPr>
              <w:pStyle w:val="ListParagraph"/>
              <w:numPr>
                <w:ilvl w:val="0"/>
                <w:numId w:val="10"/>
              </w:numPr>
              <w:spacing w:before="80" w:after="120"/>
            </w:pPr>
            <w:r>
              <w:t>Supporting co-workers/supervisors to use systematic instruction including use of accommodations and any assistive technology</w:t>
            </w:r>
          </w:p>
          <w:p w:rsidR="00EC0881" w:rsidRDefault="00EC0881" w:rsidP="00EC0881">
            <w:pPr>
              <w:pStyle w:val="ListParagraph"/>
              <w:numPr>
                <w:ilvl w:val="0"/>
                <w:numId w:val="10"/>
              </w:numPr>
              <w:spacing w:before="80" w:after="120"/>
            </w:pPr>
            <w:r>
              <w:t>Monitoring support plan</w:t>
            </w:r>
            <w:r w:rsidR="006A4B32">
              <w:t>; coaching and mentoring; pastoral support</w:t>
            </w:r>
          </w:p>
          <w:p w:rsidR="00EC0881" w:rsidRDefault="00EC0881" w:rsidP="00EC0881">
            <w:pPr>
              <w:pStyle w:val="ListParagraph"/>
              <w:numPr>
                <w:ilvl w:val="0"/>
                <w:numId w:val="10"/>
              </w:numPr>
              <w:spacing w:before="80" w:after="120"/>
            </w:pPr>
            <w:r>
              <w:t>Begin fading to natural supports</w:t>
            </w:r>
          </w:p>
          <w:p w:rsidR="007551DE" w:rsidRPr="00495A08" w:rsidRDefault="007551DE" w:rsidP="00EC0881">
            <w:pPr>
              <w:pStyle w:val="ListParagraph"/>
              <w:numPr>
                <w:ilvl w:val="0"/>
                <w:numId w:val="10"/>
              </w:numPr>
              <w:spacing w:before="80" w:after="120"/>
            </w:pPr>
            <w:r>
              <w:t>Self- employment/micro enterprise implementation</w:t>
            </w:r>
          </w:p>
          <w:p w:rsidR="00A24B3B" w:rsidRPr="00B53B6E" w:rsidRDefault="00B53B6E" w:rsidP="00B53B6E">
            <w:pPr>
              <w:pStyle w:val="ListParagraph"/>
              <w:numPr>
                <w:ilvl w:val="1"/>
                <w:numId w:val="1"/>
              </w:numPr>
              <w:spacing w:before="80" w:after="120"/>
              <w:rPr>
                <w:sz w:val="28"/>
                <w:szCs w:val="28"/>
                <w:u w:val="single"/>
              </w:rPr>
            </w:pPr>
            <w:r>
              <w:rPr>
                <w:sz w:val="28"/>
                <w:szCs w:val="28"/>
                <w:u w:val="single"/>
              </w:rPr>
              <w:t xml:space="preserve"> </w:t>
            </w:r>
            <w:r w:rsidR="00A24B3B" w:rsidRPr="00CB350E">
              <w:rPr>
                <w:color w:val="385623" w:themeColor="accent6" w:themeShade="80"/>
                <w:sz w:val="28"/>
                <w:szCs w:val="28"/>
                <w:u w:val="single"/>
              </w:rPr>
              <w:t>Training Pathway</w:t>
            </w:r>
          </w:p>
          <w:p w:rsidR="00D80B65" w:rsidRPr="00C0352A" w:rsidRDefault="00D80B65" w:rsidP="00D80B65">
            <w:pPr>
              <w:pStyle w:val="ListParagraph"/>
              <w:numPr>
                <w:ilvl w:val="0"/>
                <w:numId w:val="21"/>
              </w:numPr>
              <w:spacing w:before="80" w:after="120"/>
              <w:rPr>
                <w:u w:val="single"/>
              </w:rPr>
            </w:pPr>
            <w:r w:rsidRPr="00C0352A">
              <w:rPr>
                <w:u w:val="single"/>
              </w:rPr>
              <w:t>Prior to leaving school:</w:t>
            </w:r>
          </w:p>
          <w:p w:rsidR="00D80B65" w:rsidRDefault="00D80B65" w:rsidP="00D80B65">
            <w:pPr>
              <w:pStyle w:val="ListParagraph"/>
              <w:numPr>
                <w:ilvl w:val="0"/>
                <w:numId w:val="22"/>
              </w:numPr>
              <w:spacing w:before="80" w:after="120"/>
            </w:pPr>
            <w:r>
              <w:t>Engagement and support to implement activity plan</w:t>
            </w:r>
          </w:p>
          <w:p w:rsidR="00D80B65" w:rsidRPr="00C0352A" w:rsidRDefault="00D80B65" w:rsidP="00D80B65">
            <w:pPr>
              <w:pStyle w:val="ListParagraph"/>
              <w:numPr>
                <w:ilvl w:val="0"/>
                <w:numId w:val="21"/>
              </w:numPr>
              <w:spacing w:before="80" w:after="120"/>
              <w:rPr>
                <w:u w:val="single"/>
              </w:rPr>
            </w:pPr>
            <w:r w:rsidRPr="00C0352A">
              <w:rPr>
                <w:u w:val="single"/>
              </w:rPr>
              <w:t>Post school:</w:t>
            </w:r>
          </w:p>
          <w:p w:rsidR="00103AC4" w:rsidRDefault="00DC1F67" w:rsidP="00C0352A">
            <w:pPr>
              <w:pStyle w:val="ListParagraph"/>
              <w:numPr>
                <w:ilvl w:val="0"/>
                <w:numId w:val="22"/>
              </w:numPr>
              <w:spacing w:before="80" w:after="120"/>
            </w:pPr>
            <w:r w:rsidRPr="00C0352A">
              <w:t>Su</w:t>
            </w:r>
            <w:r w:rsidR="00001512" w:rsidRPr="00C0352A">
              <w:t xml:space="preserve">pporting </w:t>
            </w:r>
            <w:r w:rsidR="00001512">
              <w:t>course registration,</w:t>
            </w:r>
            <w:r>
              <w:t xml:space="preserve"> enrolment and fee payment</w:t>
            </w:r>
          </w:p>
          <w:p w:rsidR="00DC1F67" w:rsidRPr="00C0352A" w:rsidRDefault="00DC1F67" w:rsidP="00C0352A">
            <w:pPr>
              <w:pStyle w:val="ListParagraph"/>
              <w:numPr>
                <w:ilvl w:val="0"/>
                <w:numId w:val="22"/>
              </w:numPr>
              <w:spacing w:before="80" w:after="120"/>
            </w:pPr>
            <w:r w:rsidRPr="00C0352A">
              <w:t>Organi</w:t>
            </w:r>
            <w:r w:rsidR="00B340BC" w:rsidRPr="00C0352A">
              <w:t>sing learner support/resources</w:t>
            </w:r>
          </w:p>
          <w:p w:rsidR="00DC1F67" w:rsidRPr="00C0352A" w:rsidRDefault="00DC1F67" w:rsidP="00C0352A">
            <w:pPr>
              <w:pStyle w:val="ListParagraph"/>
              <w:numPr>
                <w:ilvl w:val="0"/>
                <w:numId w:val="22"/>
              </w:numPr>
              <w:spacing w:before="80" w:after="120"/>
            </w:pPr>
            <w:r w:rsidRPr="00C0352A">
              <w:t>Monitor support plan</w:t>
            </w:r>
          </w:p>
        </w:tc>
        <w:tc>
          <w:tcPr>
            <w:tcW w:w="1275" w:type="dxa"/>
          </w:tcPr>
          <w:p w:rsidR="004A404D" w:rsidRDefault="009573C4" w:rsidP="004A79D5">
            <w:pPr>
              <w:spacing w:before="80" w:after="120"/>
            </w:pPr>
            <w:r>
              <w:lastRenderedPageBreak/>
              <w:t>15</w:t>
            </w:r>
            <w:r w:rsidR="00672F2D">
              <w:t>hrs</w:t>
            </w:r>
          </w:p>
          <w:p w:rsidR="00672F2D" w:rsidRDefault="00672F2D" w:rsidP="004A79D5">
            <w:pPr>
              <w:spacing w:before="80" w:after="120"/>
            </w:pPr>
          </w:p>
          <w:p w:rsidR="00672F2D" w:rsidRDefault="00672F2D" w:rsidP="004A79D5">
            <w:pPr>
              <w:spacing w:before="80" w:after="120"/>
            </w:pPr>
          </w:p>
          <w:p w:rsidR="00672F2D" w:rsidRDefault="00672F2D" w:rsidP="004A79D5">
            <w:pPr>
              <w:spacing w:before="80" w:after="120"/>
            </w:pPr>
          </w:p>
          <w:p w:rsidR="00672F2D" w:rsidRDefault="0007200C" w:rsidP="004A79D5">
            <w:pPr>
              <w:spacing w:before="80" w:after="120"/>
            </w:pPr>
            <w:r>
              <w:t>4</w:t>
            </w:r>
            <w:r w:rsidR="009573C4">
              <w:t>0</w:t>
            </w:r>
            <w:r w:rsidR="00672F2D">
              <w:t>hrs</w:t>
            </w:r>
          </w:p>
          <w:p w:rsidR="00672F2D" w:rsidRDefault="00672F2D" w:rsidP="004A79D5">
            <w:pPr>
              <w:spacing w:before="80" w:after="120"/>
            </w:pPr>
          </w:p>
          <w:p w:rsidR="00672F2D" w:rsidRDefault="00672F2D" w:rsidP="004A79D5">
            <w:pPr>
              <w:spacing w:before="80" w:after="120"/>
            </w:pPr>
          </w:p>
          <w:p w:rsidR="00672F2D" w:rsidRDefault="00672F2D" w:rsidP="004A79D5">
            <w:pPr>
              <w:spacing w:before="80" w:after="120"/>
            </w:pPr>
          </w:p>
          <w:p w:rsidR="00672F2D" w:rsidRDefault="00672F2D" w:rsidP="004A79D5">
            <w:pPr>
              <w:spacing w:before="80" w:after="120"/>
            </w:pPr>
          </w:p>
          <w:p w:rsidR="00672F2D" w:rsidRDefault="0007200C" w:rsidP="004A79D5">
            <w:pPr>
              <w:spacing w:before="80" w:after="120"/>
            </w:pPr>
            <w:r>
              <w:t>8</w:t>
            </w:r>
            <w:r w:rsidR="009573C4">
              <w:t>0</w:t>
            </w:r>
            <w:r w:rsidR="00EC0881">
              <w:t>hr</w:t>
            </w:r>
            <w:r w:rsidR="00672F2D">
              <w:t>s</w:t>
            </w:r>
          </w:p>
          <w:p w:rsidR="00EC0881" w:rsidRDefault="00EC0881" w:rsidP="004A79D5">
            <w:pPr>
              <w:spacing w:before="80" w:after="120"/>
            </w:pPr>
          </w:p>
          <w:p w:rsidR="00EC0881" w:rsidRDefault="00EC0881" w:rsidP="004A79D5">
            <w:pPr>
              <w:spacing w:before="80" w:after="120"/>
            </w:pPr>
          </w:p>
          <w:p w:rsidR="00EC0881" w:rsidRDefault="00EC0881" w:rsidP="004A79D5">
            <w:pPr>
              <w:spacing w:before="80" w:after="120"/>
            </w:pPr>
          </w:p>
          <w:p w:rsidR="00EC0881" w:rsidRDefault="00EC0881" w:rsidP="004A79D5">
            <w:pPr>
              <w:spacing w:before="80" w:after="120"/>
            </w:pPr>
          </w:p>
          <w:p w:rsidR="00EC0881" w:rsidRDefault="00EC0881" w:rsidP="004A79D5">
            <w:pPr>
              <w:spacing w:before="80" w:after="120"/>
            </w:pPr>
          </w:p>
          <w:p w:rsidR="009D5EC6" w:rsidRPr="009D5EC6" w:rsidRDefault="009D5EC6" w:rsidP="009D5EC6">
            <w:pPr>
              <w:spacing w:before="80"/>
              <w:rPr>
                <w:sz w:val="20"/>
                <w:szCs w:val="20"/>
              </w:rPr>
            </w:pPr>
          </w:p>
          <w:p w:rsidR="00C0352A" w:rsidRDefault="00C0352A" w:rsidP="004A79D5">
            <w:pPr>
              <w:spacing w:before="80" w:after="120"/>
            </w:pPr>
            <w:r>
              <w:t>20hrs</w:t>
            </w:r>
          </w:p>
          <w:p w:rsidR="00D80B65" w:rsidRDefault="00D80B65" w:rsidP="009D5EC6">
            <w:pPr>
              <w:spacing w:before="80" w:after="160"/>
            </w:pPr>
          </w:p>
          <w:p w:rsidR="00EC0881" w:rsidRDefault="00EC0881" w:rsidP="004A79D5">
            <w:pPr>
              <w:spacing w:before="80" w:after="120"/>
            </w:pPr>
            <w:r>
              <w:t>5hrs</w:t>
            </w:r>
          </w:p>
        </w:tc>
        <w:tc>
          <w:tcPr>
            <w:tcW w:w="1560" w:type="dxa"/>
          </w:tcPr>
          <w:p w:rsidR="004A404D" w:rsidRDefault="00D60FA1" w:rsidP="004A79D5">
            <w:pPr>
              <w:spacing w:before="80" w:after="120"/>
            </w:pPr>
            <w:r>
              <w:lastRenderedPageBreak/>
              <w:t>$900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07200C" w:rsidP="004A79D5">
            <w:pPr>
              <w:spacing w:before="80" w:after="120"/>
            </w:pPr>
            <w:r>
              <w:t>$2,400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07200C" w:rsidP="004A79D5">
            <w:pPr>
              <w:spacing w:before="80" w:after="120"/>
            </w:pPr>
            <w:r>
              <w:t>$4,800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r>
              <w:t>$1,200</w:t>
            </w:r>
          </w:p>
          <w:p w:rsidR="00D60FA1" w:rsidRDefault="00D60FA1" w:rsidP="004A79D5">
            <w:pPr>
              <w:spacing w:before="80" w:after="120"/>
            </w:pPr>
          </w:p>
          <w:p w:rsidR="00D60FA1" w:rsidRDefault="00D60FA1" w:rsidP="004A79D5">
            <w:pPr>
              <w:spacing w:before="80" w:after="120"/>
            </w:pPr>
            <w:r>
              <w:t>$300</w:t>
            </w:r>
          </w:p>
        </w:tc>
      </w:tr>
      <w:tr w:rsidR="004A404D" w:rsidTr="004A404D">
        <w:tc>
          <w:tcPr>
            <w:tcW w:w="3681" w:type="dxa"/>
          </w:tcPr>
          <w:p w:rsidR="004A404D" w:rsidRPr="00CB350E" w:rsidRDefault="004A404D" w:rsidP="00B53B6E">
            <w:pPr>
              <w:pStyle w:val="ListParagraph"/>
              <w:numPr>
                <w:ilvl w:val="0"/>
                <w:numId w:val="1"/>
              </w:numPr>
              <w:spacing w:before="80" w:after="120"/>
              <w:rPr>
                <w:rFonts w:ascii="Arial" w:hAnsi="Arial" w:cs="Arial"/>
                <w:color w:val="1F3864" w:themeColor="accent5" w:themeShade="80"/>
                <w:u w:val="single"/>
              </w:rPr>
            </w:pPr>
            <w:r w:rsidRPr="00CB350E">
              <w:rPr>
                <w:rFonts w:ascii="Arial" w:hAnsi="Arial" w:cs="Arial"/>
                <w:color w:val="1F3864" w:themeColor="accent5" w:themeShade="80"/>
                <w:u w:val="single"/>
              </w:rPr>
              <w:lastRenderedPageBreak/>
              <w:t>Post Placement Support</w:t>
            </w:r>
            <w:r w:rsidR="00B940FD" w:rsidRPr="00CB350E">
              <w:rPr>
                <w:rFonts w:ascii="Arial" w:hAnsi="Arial" w:cs="Arial"/>
                <w:color w:val="1F3864" w:themeColor="accent5" w:themeShade="80"/>
                <w:u w:val="single"/>
              </w:rPr>
              <w:t xml:space="preserve"> </w:t>
            </w:r>
          </w:p>
          <w:p w:rsidR="004A404D" w:rsidRPr="00CB350E" w:rsidRDefault="004A21F0" w:rsidP="004A79D5">
            <w:pPr>
              <w:pStyle w:val="ListParagraph"/>
              <w:spacing w:before="80" w:after="120"/>
              <w:ind w:left="360"/>
              <w:rPr>
                <w:rFonts w:ascii="Arial" w:hAnsi="Arial" w:cs="Arial"/>
                <w:color w:val="1F3864" w:themeColor="accent5" w:themeShade="80"/>
                <w:u w:val="single"/>
              </w:rPr>
            </w:pPr>
            <w:r w:rsidRPr="00CB350E">
              <w:rPr>
                <w:rFonts w:ascii="Arial" w:hAnsi="Arial" w:cs="Arial"/>
                <w:color w:val="1F3864" w:themeColor="accent5" w:themeShade="80"/>
                <w:u w:val="single"/>
              </w:rPr>
              <w:t>(6,9 and 12 months</w:t>
            </w:r>
            <w:r w:rsidR="001D1417" w:rsidRPr="00CB350E">
              <w:rPr>
                <w:rFonts w:ascii="Arial" w:hAnsi="Arial" w:cs="Arial"/>
                <w:color w:val="1F3864" w:themeColor="accent5" w:themeShade="80"/>
                <w:u w:val="single"/>
              </w:rPr>
              <w:t>)</w:t>
            </w:r>
          </w:p>
          <w:p w:rsidR="001D1417" w:rsidRDefault="001D1417" w:rsidP="004A79D5">
            <w:pPr>
              <w:pStyle w:val="ListParagraph"/>
              <w:spacing w:before="80" w:after="120"/>
              <w:ind w:left="360"/>
              <w:rPr>
                <w:rFonts w:ascii="Arial" w:hAnsi="Arial" w:cs="Arial"/>
                <w:b w:val="0"/>
                <w:u w:val="single"/>
              </w:rPr>
            </w:pPr>
          </w:p>
          <w:p w:rsidR="001D1417" w:rsidRDefault="001D1417" w:rsidP="001D1417">
            <w:pPr>
              <w:spacing w:before="80" w:after="120"/>
              <w:rPr>
                <w:rFonts w:ascii="Arial" w:hAnsi="Arial" w:cs="Arial"/>
                <w:b w:val="0"/>
              </w:rPr>
            </w:pPr>
          </w:p>
          <w:p w:rsidR="001D1417" w:rsidRPr="001D1417" w:rsidRDefault="001D1417" w:rsidP="001D1417">
            <w:pPr>
              <w:spacing w:before="80" w:after="120"/>
              <w:rPr>
                <w:rFonts w:ascii="Arial" w:hAnsi="Arial" w:cs="Arial"/>
                <w:b w:val="0"/>
              </w:rPr>
            </w:pPr>
            <w:r>
              <w:rPr>
                <w:rFonts w:ascii="Arial" w:hAnsi="Arial" w:cs="Arial"/>
                <w:b w:val="0"/>
              </w:rPr>
              <w:t>(Practice Guidelines 4 – 6)</w:t>
            </w:r>
          </w:p>
        </w:tc>
        <w:tc>
          <w:tcPr>
            <w:tcW w:w="7513" w:type="dxa"/>
          </w:tcPr>
          <w:p w:rsidR="004A404D" w:rsidRPr="00B53B6E" w:rsidRDefault="00B53B6E" w:rsidP="00B53B6E">
            <w:pPr>
              <w:pStyle w:val="ListParagraph"/>
              <w:numPr>
                <w:ilvl w:val="1"/>
                <w:numId w:val="1"/>
              </w:numPr>
              <w:spacing w:before="80" w:after="120"/>
              <w:rPr>
                <w:sz w:val="28"/>
                <w:szCs w:val="28"/>
                <w:u w:val="single"/>
              </w:rPr>
            </w:pPr>
            <w:r>
              <w:rPr>
                <w:sz w:val="28"/>
                <w:szCs w:val="28"/>
                <w:u w:val="single"/>
              </w:rPr>
              <w:t xml:space="preserve"> </w:t>
            </w:r>
            <w:r w:rsidR="00DC1F67" w:rsidRPr="00CB350E">
              <w:rPr>
                <w:color w:val="385623" w:themeColor="accent6" w:themeShade="80"/>
                <w:sz w:val="28"/>
                <w:szCs w:val="28"/>
                <w:u w:val="single"/>
              </w:rPr>
              <w:t>Existing Vacancy Pathway</w:t>
            </w:r>
          </w:p>
          <w:p w:rsidR="00B340BC" w:rsidRPr="00FA625F" w:rsidRDefault="00001512" w:rsidP="00FA625F">
            <w:pPr>
              <w:pStyle w:val="ListParagraph"/>
              <w:numPr>
                <w:ilvl w:val="0"/>
                <w:numId w:val="26"/>
              </w:numPr>
              <w:spacing w:before="80" w:after="120"/>
            </w:pPr>
            <w:r w:rsidRPr="00FA625F">
              <w:t>Respond to employ</w:t>
            </w:r>
            <w:r w:rsidR="00A1029A" w:rsidRPr="00FA625F">
              <w:t>ee/employer requests for job retention/re-training</w:t>
            </w:r>
            <w:r w:rsidRPr="00FA625F">
              <w:t>,</w:t>
            </w:r>
            <w:r w:rsidR="00A1029A" w:rsidRPr="00FA625F">
              <w:t xml:space="preserve"> support</w:t>
            </w:r>
            <w:r w:rsidRPr="00FA625F">
              <w:t xml:space="preserve"> and guidance</w:t>
            </w:r>
            <w:r w:rsidR="00B340BC" w:rsidRPr="00FA625F">
              <w:t xml:space="preserve"> activity</w:t>
            </w:r>
          </w:p>
          <w:p w:rsidR="00DC1F67" w:rsidRPr="00CB350E" w:rsidRDefault="00B53B6E" w:rsidP="00B53B6E">
            <w:pPr>
              <w:pStyle w:val="ListParagraph"/>
              <w:numPr>
                <w:ilvl w:val="1"/>
                <w:numId w:val="1"/>
              </w:numPr>
              <w:spacing w:before="80" w:after="120"/>
              <w:rPr>
                <w:color w:val="385623" w:themeColor="accent6" w:themeShade="80"/>
                <w:sz w:val="28"/>
                <w:szCs w:val="28"/>
                <w:u w:val="single"/>
              </w:rPr>
            </w:pPr>
            <w:r>
              <w:rPr>
                <w:sz w:val="28"/>
                <w:szCs w:val="28"/>
                <w:u w:val="single"/>
              </w:rPr>
              <w:t xml:space="preserve"> </w:t>
            </w:r>
            <w:r w:rsidR="00C0352A" w:rsidRPr="00CB350E">
              <w:rPr>
                <w:color w:val="385623" w:themeColor="accent6" w:themeShade="80"/>
                <w:sz w:val="28"/>
                <w:szCs w:val="28"/>
                <w:u w:val="single"/>
              </w:rPr>
              <w:t xml:space="preserve">Partially </w:t>
            </w:r>
            <w:r w:rsidR="00DC1F67" w:rsidRPr="00CB350E">
              <w:rPr>
                <w:color w:val="385623" w:themeColor="accent6" w:themeShade="80"/>
                <w:sz w:val="28"/>
                <w:szCs w:val="28"/>
                <w:u w:val="single"/>
              </w:rPr>
              <w:t>Customised pathway</w:t>
            </w:r>
          </w:p>
          <w:p w:rsidR="004A21F0" w:rsidRPr="00FA625F" w:rsidRDefault="00C0352A" w:rsidP="00FA625F">
            <w:pPr>
              <w:pStyle w:val="ListParagraph"/>
              <w:numPr>
                <w:ilvl w:val="0"/>
                <w:numId w:val="26"/>
              </w:numPr>
              <w:spacing w:before="80" w:after="120"/>
            </w:pPr>
            <w:r w:rsidRPr="00FA625F">
              <w:t>Periodic</w:t>
            </w:r>
            <w:r w:rsidR="00C771A2" w:rsidRPr="00FA625F">
              <w:t xml:space="preserve"> liaison with employers,</w:t>
            </w:r>
            <w:r w:rsidR="004A21F0" w:rsidRPr="00FA625F">
              <w:t xml:space="preserve"> co-workers</w:t>
            </w:r>
            <w:r w:rsidR="00C771A2" w:rsidRPr="00FA625F">
              <w:t xml:space="preserve"> and network</w:t>
            </w:r>
            <w:r w:rsidR="004A21F0" w:rsidRPr="00FA625F">
              <w:t>; continue monitoring of support plan</w:t>
            </w:r>
            <w:r w:rsidR="006A4B32">
              <w:t>; coaching and mentoring; pastoral support</w:t>
            </w:r>
          </w:p>
          <w:p w:rsidR="006B5D40" w:rsidRPr="00FA625F" w:rsidRDefault="006B5D40" w:rsidP="00FA625F">
            <w:pPr>
              <w:pStyle w:val="ListParagraph"/>
              <w:numPr>
                <w:ilvl w:val="0"/>
                <w:numId w:val="26"/>
              </w:numPr>
              <w:spacing w:before="80" w:after="120"/>
            </w:pPr>
            <w:r w:rsidRPr="00FA625F">
              <w:t>Growing hours and responsibilities</w:t>
            </w:r>
          </w:p>
          <w:p w:rsidR="00C0352A" w:rsidRPr="00B53B6E" w:rsidRDefault="00B53B6E" w:rsidP="00B53B6E">
            <w:pPr>
              <w:pStyle w:val="ListParagraph"/>
              <w:numPr>
                <w:ilvl w:val="1"/>
                <w:numId w:val="1"/>
              </w:numPr>
              <w:spacing w:before="80" w:after="120"/>
              <w:rPr>
                <w:sz w:val="28"/>
                <w:szCs w:val="28"/>
                <w:u w:val="single"/>
              </w:rPr>
            </w:pPr>
            <w:r>
              <w:rPr>
                <w:sz w:val="28"/>
                <w:szCs w:val="28"/>
                <w:u w:val="single"/>
              </w:rPr>
              <w:t xml:space="preserve"> </w:t>
            </w:r>
            <w:r w:rsidR="00C0352A" w:rsidRPr="00CB350E">
              <w:rPr>
                <w:color w:val="385623" w:themeColor="accent6" w:themeShade="80"/>
                <w:sz w:val="28"/>
                <w:szCs w:val="28"/>
                <w:u w:val="single"/>
              </w:rPr>
              <w:t>Fully Customised Pathway</w:t>
            </w:r>
          </w:p>
          <w:p w:rsidR="00C0352A" w:rsidRPr="00FA625F" w:rsidRDefault="00C0352A" w:rsidP="00FA625F">
            <w:pPr>
              <w:pStyle w:val="ListParagraph"/>
              <w:numPr>
                <w:ilvl w:val="0"/>
                <w:numId w:val="27"/>
              </w:numPr>
              <w:spacing w:before="80" w:after="120"/>
            </w:pPr>
            <w:r w:rsidRPr="00FA625F">
              <w:t>Regular liaison with employers, co-workers and network; continue monitoring of support plan</w:t>
            </w:r>
            <w:r w:rsidR="006A4B32">
              <w:t>; coaching and mentoring; pastoral support</w:t>
            </w:r>
          </w:p>
          <w:p w:rsidR="00C0352A" w:rsidRPr="00FA625F" w:rsidRDefault="00C0352A" w:rsidP="00FA625F">
            <w:pPr>
              <w:pStyle w:val="ListParagraph"/>
              <w:numPr>
                <w:ilvl w:val="0"/>
                <w:numId w:val="27"/>
              </w:numPr>
              <w:spacing w:before="80" w:after="120"/>
            </w:pPr>
            <w:r w:rsidRPr="00FA625F">
              <w:t>Growing hours and responsibilities</w:t>
            </w:r>
          </w:p>
          <w:p w:rsidR="00056D6F" w:rsidRPr="00056D6F" w:rsidRDefault="00C0352A" w:rsidP="00056D6F">
            <w:pPr>
              <w:pStyle w:val="ListParagraph"/>
              <w:numPr>
                <w:ilvl w:val="0"/>
                <w:numId w:val="27"/>
              </w:numPr>
              <w:spacing w:before="80" w:after="120"/>
            </w:pPr>
            <w:r w:rsidRPr="00FA625F">
              <w:t>Negotiate fading to natural supports</w:t>
            </w:r>
          </w:p>
          <w:p w:rsidR="00B340BC" w:rsidRPr="00CB350E" w:rsidRDefault="00B53B6E" w:rsidP="00B53B6E">
            <w:pPr>
              <w:pStyle w:val="ListParagraph"/>
              <w:numPr>
                <w:ilvl w:val="1"/>
                <w:numId w:val="1"/>
              </w:numPr>
              <w:spacing w:before="80" w:after="120"/>
              <w:rPr>
                <w:color w:val="385623" w:themeColor="accent6" w:themeShade="80"/>
                <w:sz w:val="28"/>
                <w:szCs w:val="28"/>
                <w:u w:val="single"/>
              </w:rPr>
            </w:pPr>
            <w:r>
              <w:rPr>
                <w:sz w:val="28"/>
                <w:szCs w:val="28"/>
                <w:u w:val="single"/>
              </w:rPr>
              <w:t xml:space="preserve"> </w:t>
            </w:r>
            <w:r w:rsidR="00B340BC" w:rsidRPr="00CB350E">
              <w:rPr>
                <w:color w:val="385623" w:themeColor="accent6" w:themeShade="80"/>
                <w:sz w:val="28"/>
                <w:szCs w:val="28"/>
                <w:u w:val="single"/>
              </w:rPr>
              <w:t>Training pathway</w:t>
            </w:r>
          </w:p>
          <w:p w:rsidR="00FA625F" w:rsidRDefault="00FA625F" w:rsidP="00FA625F">
            <w:pPr>
              <w:pStyle w:val="ListParagraph"/>
              <w:numPr>
                <w:ilvl w:val="0"/>
                <w:numId w:val="23"/>
              </w:numPr>
              <w:spacing w:before="80" w:after="120"/>
            </w:pPr>
            <w:r>
              <w:t>Prior to leaving school</w:t>
            </w:r>
          </w:p>
          <w:p w:rsidR="00FA625F" w:rsidRDefault="00FA625F" w:rsidP="00FA625F">
            <w:pPr>
              <w:pStyle w:val="ListParagraph"/>
              <w:numPr>
                <w:ilvl w:val="0"/>
                <w:numId w:val="29"/>
              </w:numPr>
              <w:spacing w:before="80" w:after="120"/>
            </w:pPr>
            <w:r>
              <w:t>Monitoring, review and ongoing support of activity plan</w:t>
            </w:r>
          </w:p>
          <w:p w:rsidR="00FA625F" w:rsidRDefault="00FA625F" w:rsidP="00FA625F">
            <w:pPr>
              <w:pStyle w:val="ListParagraph"/>
              <w:numPr>
                <w:ilvl w:val="0"/>
                <w:numId w:val="23"/>
              </w:numPr>
              <w:spacing w:before="80" w:after="120"/>
            </w:pPr>
            <w:r>
              <w:t>Post school</w:t>
            </w:r>
          </w:p>
          <w:p w:rsidR="00A1029A" w:rsidRPr="00FA625F" w:rsidRDefault="00FA625F" w:rsidP="00FA625F">
            <w:pPr>
              <w:pStyle w:val="ListParagraph"/>
              <w:numPr>
                <w:ilvl w:val="0"/>
                <w:numId w:val="28"/>
              </w:numPr>
              <w:spacing w:before="80" w:after="120"/>
            </w:pPr>
            <w:r w:rsidRPr="00FA625F">
              <w:t>Monitor support plan and return to existing vacancy employment pathway (at conclusion of training).</w:t>
            </w:r>
          </w:p>
        </w:tc>
        <w:tc>
          <w:tcPr>
            <w:tcW w:w="1275" w:type="dxa"/>
          </w:tcPr>
          <w:p w:rsidR="004A404D" w:rsidRDefault="00672F2D" w:rsidP="009D5EC6">
            <w:pPr>
              <w:spacing w:before="100"/>
            </w:pPr>
            <w:r>
              <w:t>10hrs</w:t>
            </w:r>
            <w:r w:rsidR="00B940FD">
              <w:t xml:space="preserve"> x3</w:t>
            </w:r>
          </w:p>
          <w:p w:rsidR="00672F2D" w:rsidRDefault="00672F2D" w:rsidP="009D5EC6">
            <w:pPr>
              <w:spacing w:before="80"/>
            </w:pPr>
          </w:p>
          <w:p w:rsidR="00672F2D" w:rsidRPr="00E415F8" w:rsidRDefault="00672F2D" w:rsidP="00E415F8">
            <w:pPr>
              <w:spacing w:before="80"/>
              <w:rPr>
                <w:sz w:val="16"/>
                <w:szCs w:val="16"/>
              </w:rPr>
            </w:pPr>
          </w:p>
          <w:p w:rsidR="00672F2D" w:rsidRDefault="0007200C" w:rsidP="004A79D5">
            <w:pPr>
              <w:spacing w:before="80" w:after="120"/>
            </w:pPr>
            <w:r>
              <w:t>20</w:t>
            </w:r>
            <w:r w:rsidR="00672F2D">
              <w:t>hrs</w:t>
            </w:r>
            <w:r w:rsidR="00B940FD">
              <w:t xml:space="preserve"> x3</w:t>
            </w:r>
          </w:p>
          <w:p w:rsidR="00C0352A" w:rsidRDefault="00C0352A" w:rsidP="004A79D5">
            <w:pPr>
              <w:spacing w:before="80" w:after="120"/>
            </w:pPr>
          </w:p>
          <w:p w:rsidR="00B53B6E" w:rsidRDefault="00B53B6E" w:rsidP="00E415F8">
            <w:pPr>
              <w:spacing w:before="80"/>
            </w:pPr>
          </w:p>
          <w:p w:rsidR="00C0352A" w:rsidRDefault="0007200C" w:rsidP="004A79D5">
            <w:pPr>
              <w:spacing w:before="80" w:after="120"/>
            </w:pPr>
            <w:r>
              <w:t>50</w:t>
            </w:r>
            <w:r w:rsidR="00C0352A">
              <w:t>hrs x3</w:t>
            </w:r>
          </w:p>
          <w:p w:rsidR="00672F2D" w:rsidRPr="009D5EC6" w:rsidRDefault="00672F2D" w:rsidP="009D5EC6">
            <w:pPr>
              <w:spacing w:before="80"/>
              <w:rPr>
                <w:sz w:val="12"/>
                <w:szCs w:val="12"/>
              </w:rPr>
            </w:pPr>
          </w:p>
          <w:p w:rsidR="009D5EC6" w:rsidRPr="009D5EC6" w:rsidRDefault="009D5EC6" w:rsidP="009D5EC6">
            <w:pPr>
              <w:spacing w:before="80"/>
              <w:rPr>
                <w:sz w:val="16"/>
                <w:szCs w:val="16"/>
              </w:rPr>
            </w:pPr>
          </w:p>
          <w:p w:rsidR="00B53B6E" w:rsidRDefault="00B53B6E" w:rsidP="00E415F8">
            <w:pPr>
              <w:spacing w:before="80"/>
              <w:rPr>
                <w:sz w:val="16"/>
                <w:szCs w:val="16"/>
              </w:rPr>
            </w:pPr>
          </w:p>
          <w:p w:rsidR="00E415F8" w:rsidRPr="00E415F8" w:rsidRDefault="00E415F8" w:rsidP="00E415F8">
            <w:pPr>
              <w:spacing w:before="80"/>
              <w:rPr>
                <w:sz w:val="16"/>
                <w:szCs w:val="16"/>
              </w:rPr>
            </w:pPr>
          </w:p>
          <w:p w:rsidR="00C0352A" w:rsidRDefault="00FA625F" w:rsidP="004A79D5">
            <w:pPr>
              <w:spacing w:before="80" w:after="120"/>
            </w:pPr>
            <w:r>
              <w:t>10hrs x 3</w:t>
            </w:r>
          </w:p>
          <w:p w:rsidR="00B53B6E" w:rsidRPr="00E415F8" w:rsidRDefault="00B53B6E" w:rsidP="004A79D5">
            <w:pPr>
              <w:spacing w:before="80" w:after="120"/>
              <w:rPr>
                <w:sz w:val="28"/>
                <w:szCs w:val="28"/>
              </w:rPr>
            </w:pPr>
          </w:p>
          <w:p w:rsidR="00672F2D" w:rsidRDefault="005E384C" w:rsidP="004A79D5">
            <w:pPr>
              <w:spacing w:before="80" w:after="120"/>
            </w:pPr>
            <w:r>
              <w:t>2hrs x3</w:t>
            </w:r>
          </w:p>
          <w:p w:rsidR="00672F2D" w:rsidRDefault="00672F2D" w:rsidP="004A79D5">
            <w:pPr>
              <w:spacing w:before="80" w:after="120"/>
            </w:pPr>
          </w:p>
        </w:tc>
        <w:tc>
          <w:tcPr>
            <w:tcW w:w="1560" w:type="dxa"/>
          </w:tcPr>
          <w:p w:rsidR="004A404D" w:rsidRDefault="00D60FA1" w:rsidP="004A79D5">
            <w:pPr>
              <w:spacing w:before="80" w:after="120"/>
            </w:pPr>
            <w:r>
              <w:t>$1,800</w:t>
            </w:r>
          </w:p>
          <w:p w:rsidR="00D60FA1" w:rsidRDefault="00D60FA1" w:rsidP="004A79D5">
            <w:pPr>
              <w:spacing w:before="80" w:after="120"/>
            </w:pPr>
          </w:p>
          <w:p w:rsidR="0007200C" w:rsidRPr="000E0D5E" w:rsidRDefault="0007200C" w:rsidP="004A79D5">
            <w:pPr>
              <w:spacing w:before="80" w:after="120"/>
              <w:rPr>
                <w:sz w:val="8"/>
                <w:szCs w:val="8"/>
              </w:rPr>
            </w:pPr>
          </w:p>
          <w:p w:rsidR="00D60FA1" w:rsidRDefault="0007200C" w:rsidP="004A79D5">
            <w:pPr>
              <w:spacing w:before="80" w:after="120"/>
            </w:pPr>
            <w:r>
              <w:t>$3,600</w:t>
            </w:r>
          </w:p>
          <w:p w:rsidR="00D60FA1" w:rsidRDefault="00D60FA1" w:rsidP="004A79D5">
            <w:pPr>
              <w:spacing w:before="80" w:after="120"/>
            </w:pPr>
          </w:p>
          <w:p w:rsidR="0007200C" w:rsidRDefault="0007200C" w:rsidP="004A79D5">
            <w:pPr>
              <w:spacing w:before="80" w:after="120"/>
            </w:pPr>
          </w:p>
          <w:p w:rsidR="00D60FA1" w:rsidRDefault="0007200C" w:rsidP="004A79D5">
            <w:pPr>
              <w:spacing w:before="80" w:after="120"/>
            </w:pPr>
            <w:r>
              <w:t>$9,000</w:t>
            </w:r>
          </w:p>
          <w:p w:rsidR="00D60FA1" w:rsidRDefault="00D60FA1" w:rsidP="004A79D5">
            <w:pPr>
              <w:spacing w:before="80" w:after="120"/>
            </w:pPr>
          </w:p>
          <w:p w:rsidR="00D60FA1" w:rsidRDefault="00D60FA1" w:rsidP="004A79D5">
            <w:pPr>
              <w:spacing w:before="80" w:after="120"/>
            </w:pPr>
          </w:p>
          <w:p w:rsidR="000E0D5E" w:rsidRPr="000E0D5E" w:rsidRDefault="000E0D5E" w:rsidP="004A79D5">
            <w:pPr>
              <w:spacing w:before="80" w:after="120"/>
              <w:rPr>
                <w:sz w:val="12"/>
                <w:szCs w:val="12"/>
              </w:rPr>
            </w:pPr>
          </w:p>
          <w:p w:rsidR="00D60FA1" w:rsidRDefault="00D60FA1" w:rsidP="004A79D5">
            <w:pPr>
              <w:spacing w:before="80" w:after="120"/>
            </w:pPr>
            <w:r>
              <w:t>$1,800</w:t>
            </w:r>
          </w:p>
          <w:p w:rsidR="00D60FA1" w:rsidRDefault="00D60FA1" w:rsidP="004A79D5">
            <w:pPr>
              <w:spacing w:before="80" w:after="120"/>
            </w:pPr>
          </w:p>
          <w:p w:rsidR="00D60FA1" w:rsidRDefault="00D60FA1" w:rsidP="004A79D5">
            <w:pPr>
              <w:spacing w:before="80" w:after="120"/>
            </w:pPr>
            <w:r>
              <w:t>$360</w:t>
            </w:r>
          </w:p>
          <w:p w:rsidR="00D60FA1" w:rsidRDefault="00D60FA1" w:rsidP="004A79D5">
            <w:pPr>
              <w:spacing w:before="80" w:after="120"/>
            </w:pPr>
          </w:p>
        </w:tc>
      </w:tr>
      <w:tr w:rsidR="004A404D" w:rsidTr="004A404D">
        <w:tc>
          <w:tcPr>
            <w:tcW w:w="3681" w:type="dxa"/>
          </w:tcPr>
          <w:p w:rsidR="004A404D" w:rsidRPr="00CB350E" w:rsidRDefault="00B13070" w:rsidP="00B53B6E">
            <w:pPr>
              <w:pStyle w:val="ListParagraph"/>
              <w:numPr>
                <w:ilvl w:val="0"/>
                <w:numId w:val="1"/>
              </w:numPr>
              <w:spacing w:before="80" w:after="120"/>
              <w:rPr>
                <w:rFonts w:ascii="Arial" w:hAnsi="Arial" w:cs="Arial"/>
                <w:color w:val="1F3864" w:themeColor="accent5" w:themeShade="80"/>
                <w:u w:val="single"/>
              </w:rPr>
            </w:pPr>
            <w:r>
              <w:rPr>
                <w:rFonts w:ascii="Arial" w:hAnsi="Arial" w:cs="Arial"/>
                <w:color w:val="1F3864" w:themeColor="accent5" w:themeShade="80"/>
                <w:u w:val="single"/>
              </w:rPr>
              <w:t>Ongoing</w:t>
            </w:r>
            <w:r w:rsidR="00B340BC" w:rsidRPr="00CB350E">
              <w:rPr>
                <w:rFonts w:ascii="Arial" w:hAnsi="Arial" w:cs="Arial"/>
                <w:color w:val="1F3864" w:themeColor="accent5" w:themeShade="80"/>
                <w:u w:val="single"/>
              </w:rPr>
              <w:t xml:space="preserve"> and ad hoc support</w:t>
            </w:r>
          </w:p>
          <w:p w:rsidR="004A404D" w:rsidRPr="00CB350E" w:rsidRDefault="004A404D" w:rsidP="004A79D5">
            <w:pPr>
              <w:pStyle w:val="ListParagraph"/>
              <w:spacing w:before="80" w:after="120"/>
              <w:ind w:left="360"/>
              <w:rPr>
                <w:rFonts w:ascii="Arial" w:hAnsi="Arial" w:cs="Arial"/>
                <w:color w:val="1F3864" w:themeColor="accent5" w:themeShade="80"/>
                <w:u w:val="single"/>
              </w:rPr>
            </w:pPr>
            <w:r w:rsidRPr="00CB350E">
              <w:rPr>
                <w:rFonts w:ascii="Arial" w:hAnsi="Arial" w:cs="Arial"/>
                <w:color w:val="1F3864" w:themeColor="accent5" w:themeShade="80"/>
                <w:u w:val="single"/>
              </w:rPr>
              <w:t>(Post 12 Months)</w:t>
            </w:r>
          </w:p>
          <w:p w:rsidR="001D1417" w:rsidRPr="00CB350E" w:rsidRDefault="001D1417" w:rsidP="004A79D5">
            <w:pPr>
              <w:pStyle w:val="ListParagraph"/>
              <w:spacing w:before="80" w:after="120"/>
              <w:ind w:left="360"/>
              <w:rPr>
                <w:rFonts w:ascii="Arial" w:hAnsi="Arial" w:cs="Arial"/>
                <w:b w:val="0"/>
                <w:color w:val="1F3864" w:themeColor="accent5" w:themeShade="80"/>
                <w:u w:val="single"/>
              </w:rPr>
            </w:pPr>
          </w:p>
          <w:p w:rsidR="001D1417" w:rsidRPr="00090B5B" w:rsidRDefault="00090B5B" w:rsidP="004A79D5">
            <w:pPr>
              <w:pStyle w:val="ListParagraph"/>
              <w:spacing w:before="80" w:after="120"/>
              <w:ind w:left="360"/>
              <w:rPr>
                <w:rFonts w:ascii="Arial" w:hAnsi="Arial" w:cs="Arial"/>
                <w:b w:val="0"/>
              </w:rPr>
            </w:pPr>
            <w:r>
              <w:rPr>
                <w:rFonts w:ascii="Arial" w:hAnsi="Arial" w:cs="Arial"/>
                <w:b w:val="0"/>
              </w:rPr>
              <w:t>(</w:t>
            </w:r>
            <w:r w:rsidRPr="00090B5B">
              <w:rPr>
                <w:rFonts w:ascii="Arial" w:hAnsi="Arial" w:cs="Arial"/>
                <w:b w:val="0"/>
              </w:rPr>
              <w:t>upon application</w:t>
            </w:r>
            <w:r>
              <w:rPr>
                <w:rFonts w:ascii="Arial" w:hAnsi="Arial" w:cs="Arial"/>
                <w:b w:val="0"/>
              </w:rPr>
              <w:t>)</w:t>
            </w:r>
          </w:p>
          <w:p w:rsidR="001D1417" w:rsidRPr="001D1417" w:rsidRDefault="001D1417" w:rsidP="001D1417">
            <w:pPr>
              <w:spacing w:before="80" w:after="120"/>
              <w:rPr>
                <w:rFonts w:ascii="Arial" w:hAnsi="Arial" w:cs="Arial"/>
                <w:b w:val="0"/>
              </w:rPr>
            </w:pPr>
            <w:r>
              <w:rPr>
                <w:rFonts w:ascii="Arial" w:hAnsi="Arial" w:cs="Arial"/>
                <w:b w:val="0"/>
              </w:rPr>
              <w:t>(Practice Guidelines 4 – 6)</w:t>
            </w:r>
          </w:p>
        </w:tc>
        <w:tc>
          <w:tcPr>
            <w:tcW w:w="7513" w:type="dxa"/>
          </w:tcPr>
          <w:p w:rsidR="004A404D" w:rsidRPr="00CB350E" w:rsidRDefault="006A4B32" w:rsidP="006A4B32">
            <w:pPr>
              <w:pStyle w:val="ListParagraph"/>
              <w:numPr>
                <w:ilvl w:val="1"/>
                <w:numId w:val="1"/>
              </w:numPr>
              <w:spacing w:before="80" w:after="120"/>
              <w:rPr>
                <w:color w:val="385623" w:themeColor="accent6" w:themeShade="80"/>
                <w:sz w:val="28"/>
                <w:szCs w:val="28"/>
                <w:u w:val="single"/>
              </w:rPr>
            </w:pPr>
            <w:r>
              <w:rPr>
                <w:sz w:val="28"/>
                <w:szCs w:val="28"/>
              </w:rPr>
              <w:t xml:space="preserve">  </w:t>
            </w:r>
            <w:r w:rsidR="00DC1F67" w:rsidRPr="00CB350E">
              <w:rPr>
                <w:color w:val="385623" w:themeColor="accent6" w:themeShade="80"/>
                <w:sz w:val="28"/>
                <w:szCs w:val="28"/>
                <w:u w:val="single"/>
              </w:rPr>
              <w:t>Existing Vacancy Pathway</w:t>
            </w:r>
          </w:p>
          <w:p w:rsidR="00B340BC" w:rsidRPr="00B340BC" w:rsidRDefault="00B340BC" w:rsidP="00B340BC">
            <w:pPr>
              <w:pStyle w:val="ListParagraph"/>
              <w:numPr>
                <w:ilvl w:val="0"/>
                <w:numId w:val="16"/>
              </w:numPr>
              <w:spacing w:before="80" w:after="120"/>
            </w:pPr>
            <w:r>
              <w:t xml:space="preserve">Job retention, retraining, </w:t>
            </w:r>
            <w:r w:rsidR="00B53B6E">
              <w:t xml:space="preserve">growing hours and </w:t>
            </w:r>
            <w:r>
              <w:t>career planning support</w:t>
            </w:r>
            <w:r w:rsidR="006A4B32">
              <w:t>; mentoring and pastoral support</w:t>
            </w:r>
          </w:p>
          <w:p w:rsidR="00BB3C33" w:rsidRDefault="00CB350E" w:rsidP="00BB3C33">
            <w:pPr>
              <w:pStyle w:val="ListParagraph"/>
              <w:numPr>
                <w:ilvl w:val="1"/>
                <w:numId w:val="34"/>
              </w:numPr>
              <w:spacing w:before="80" w:after="120"/>
              <w:rPr>
                <w:sz w:val="28"/>
                <w:szCs w:val="28"/>
                <w:u w:val="single"/>
              </w:rPr>
            </w:pPr>
            <w:r>
              <w:rPr>
                <w:sz w:val="28"/>
                <w:szCs w:val="28"/>
                <w:u w:val="single"/>
              </w:rPr>
              <w:t xml:space="preserve"> </w:t>
            </w:r>
            <w:r w:rsidR="006A4B32" w:rsidRPr="00CB350E">
              <w:rPr>
                <w:color w:val="385623" w:themeColor="accent6" w:themeShade="80"/>
                <w:sz w:val="28"/>
                <w:szCs w:val="28"/>
                <w:u w:val="single"/>
              </w:rPr>
              <w:t xml:space="preserve">Partially </w:t>
            </w:r>
            <w:r w:rsidR="00B340BC" w:rsidRPr="00CB350E">
              <w:rPr>
                <w:color w:val="385623" w:themeColor="accent6" w:themeShade="80"/>
                <w:sz w:val="28"/>
                <w:szCs w:val="28"/>
                <w:u w:val="single"/>
              </w:rPr>
              <w:t>Customised Pathway</w:t>
            </w:r>
          </w:p>
          <w:p w:rsidR="00DC1F67" w:rsidRPr="00BB3C33" w:rsidRDefault="00B340BC" w:rsidP="00BB3C33">
            <w:pPr>
              <w:pStyle w:val="ListParagraph"/>
              <w:numPr>
                <w:ilvl w:val="0"/>
                <w:numId w:val="16"/>
              </w:numPr>
              <w:spacing w:before="80" w:after="120"/>
              <w:rPr>
                <w:sz w:val="28"/>
                <w:szCs w:val="28"/>
                <w:u w:val="single"/>
              </w:rPr>
            </w:pPr>
            <w:r w:rsidRPr="00BB3C33">
              <w:t xml:space="preserve">Job retention, </w:t>
            </w:r>
            <w:r w:rsidR="006B5D40" w:rsidRPr="00BB3C33">
              <w:t>re-training; re-</w:t>
            </w:r>
            <w:r w:rsidRPr="00BB3C33">
              <w:t>negotiation of job development proposal</w:t>
            </w:r>
            <w:r w:rsidR="00B53B6E" w:rsidRPr="00BB3C33">
              <w:t>/growing hours</w:t>
            </w:r>
            <w:r w:rsidRPr="00BB3C33">
              <w:t xml:space="preserve"> and co-worker support plan</w:t>
            </w:r>
            <w:r w:rsidR="00D12C71" w:rsidRPr="00BB3C33">
              <w:t>; pastoral support</w:t>
            </w:r>
          </w:p>
          <w:p w:rsidR="006A4B32" w:rsidRPr="00CB350E" w:rsidRDefault="00D12C71" w:rsidP="006A4B32">
            <w:pPr>
              <w:pStyle w:val="ListParagraph"/>
              <w:numPr>
                <w:ilvl w:val="1"/>
                <w:numId w:val="34"/>
              </w:numPr>
              <w:spacing w:before="80" w:after="120"/>
              <w:rPr>
                <w:color w:val="385623" w:themeColor="accent6" w:themeShade="80"/>
                <w:sz w:val="28"/>
                <w:szCs w:val="28"/>
                <w:u w:val="single"/>
              </w:rPr>
            </w:pPr>
            <w:r>
              <w:rPr>
                <w:sz w:val="28"/>
                <w:szCs w:val="28"/>
                <w:u w:val="single"/>
              </w:rPr>
              <w:t xml:space="preserve"> </w:t>
            </w:r>
            <w:r w:rsidR="006A4B32" w:rsidRPr="00CB350E">
              <w:rPr>
                <w:color w:val="385623" w:themeColor="accent6" w:themeShade="80"/>
                <w:sz w:val="28"/>
                <w:szCs w:val="28"/>
                <w:u w:val="single"/>
              </w:rPr>
              <w:t>Fully Customised Pathway</w:t>
            </w:r>
          </w:p>
          <w:p w:rsidR="006A4B32" w:rsidRDefault="006A4B32" w:rsidP="006A4B32">
            <w:pPr>
              <w:pStyle w:val="ListParagraph"/>
              <w:numPr>
                <w:ilvl w:val="0"/>
                <w:numId w:val="16"/>
              </w:numPr>
              <w:spacing w:before="80" w:after="120" w:line="259" w:lineRule="auto"/>
            </w:pPr>
            <w:r>
              <w:t>Job retention, re-training; re-negotiation of job development proposal/growing hours and co-worker support plan</w:t>
            </w:r>
            <w:r w:rsidR="00D12C71">
              <w:t xml:space="preserve">; </w:t>
            </w:r>
            <w:r w:rsidR="00427529">
              <w:t xml:space="preserve">intensive </w:t>
            </w:r>
            <w:r w:rsidR="00D12C71">
              <w:t>pastoral support</w:t>
            </w:r>
          </w:p>
          <w:p w:rsidR="006A4B32" w:rsidRPr="00CB350E" w:rsidRDefault="00D12C71" w:rsidP="006A4B32">
            <w:pPr>
              <w:pStyle w:val="ListParagraph"/>
              <w:numPr>
                <w:ilvl w:val="1"/>
                <w:numId w:val="34"/>
              </w:numPr>
              <w:spacing w:before="80" w:after="120"/>
              <w:rPr>
                <w:color w:val="385623" w:themeColor="accent6" w:themeShade="80"/>
                <w:sz w:val="28"/>
                <w:szCs w:val="28"/>
                <w:u w:val="single"/>
              </w:rPr>
            </w:pPr>
            <w:r>
              <w:rPr>
                <w:sz w:val="28"/>
                <w:szCs w:val="28"/>
                <w:u w:val="single"/>
              </w:rPr>
              <w:t xml:space="preserve"> </w:t>
            </w:r>
            <w:r w:rsidR="006A4B32" w:rsidRPr="00CB350E">
              <w:rPr>
                <w:color w:val="385623" w:themeColor="accent6" w:themeShade="80"/>
                <w:sz w:val="28"/>
                <w:szCs w:val="28"/>
                <w:u w:val="single"/>
              </w:rPr>
              <w:t>Training Pathway (final year of school)</w:t>
            </w:r>
          </w:p>
          <w:p w:rsidR="006A4B32" w:rsidRPr="006A4B32" w:rsidRDefault="006A4B32" w:rsidP="006A4B32">
            <w:pPr>
              <w:pStyle w:val="ListParagraph"/>
              <w:numPr>
                <w:ilvl w:val="0"/>
                <w:numId w:val="16"/>
              </w:numPr>
              <w:spacing w:before="80" w:after="120"/>
            </w:pPr>
            <w:r>
              <w:t xml:space="preserve">Review and development of activity plan for work experience, internships and a </w:t>
            </w:r>
            <w:r w:rsidR="00D12C71">
              <w:t xml:space="preserve">comprehensive </w:t>
            </w:r>
            <w:r>
              <w:t>transition from school to work plan</w:t>
            </w:r>
          </w:p>
          <w:p w:rsidR="006A4B32" w:rsidRPr="006A4B32" w:rsidRDefault="006A4B32" w:rsidP="006A4B32">
            <w:pPr>
              <w:pStyle w:val="ListParagraph"/>
              <w:spacing w:before="80" w:after="120"/>
            </w:pPr>
          </w:p>
        </w:tc>
        <w:tc>
          <w:tcPr>
            <w:tcW w:w="1275" w:type="dxa"/>
          </w:tcPr>
          <w:p w:rsidR="004A404D" w:rsidRDefault="00B26803" w:rsidP="009D5EC6">
            <w:pPr>
              <w:spacing w:before="100" w:after="120"/>
            </w:pPr>
            <w:r>
              <w:t>15</w:t>
            </w:r>
          </w:p>
          <w:p w:rsidR="00090B5B" w:rsidRDefault="00090B5B" w:rsidP="009D5EC6">
            <w:pPr>
              <w:spacing w:before="80"/>
            </w:pPr>
          </w:p>
          <w:p w:rsidR="00E415F8" w:rsidRPr="00E415F8" w:rsidRDefault="00E415F8" w:rsidP="009D5EC6">
            <w:pPr>
              <w:rPr>
                <w:sz w:val="16"/>
                <w:szCs w:val="16"/>
              </w:rPr>
            </w:pPr>
          </w:p>
          <w:p w:rsidR="00090B5B" w:rsidRDefault="00B26803" w:rsidP="004A79D5">
            <w:pPr>
              <w:spacing w:before="80" w:after="120"/>
            </w:pPr>
            <w:r>
              <w:t>25</w:t>
            </w:r>
          </w:p>
          <w:p w:rsidR="006A4B32" w:rsidRDefault="006A4B32" w:rsidP="004A79D5">
            <w:pPr>
              <w:spacing w:before="80" w:after="120"/>
            </w:pPr>
          </w:p>
          <w:p w:rsidR="00D12C71" w:rsidRPr="00E415F8" w:rsidRDefault="00D12C71" w:rsidP="00E415F8">
            <w:pPr>
              <w:spacing w:before="80"/>
              <w:rPr>
                <w:sz w:val="12"/>
                <w:szCs w:val="12"/>
              </w:rPr>
            </w:pPr>
          </w:p>
          <w:p w:rsidR="00D12C71" w:rsidRDefault="000334F1" w:rsidP="004A79D5">
            <w:pPr>
              <w:spacing w:before="80" w:after="120"/>
            </w:pPr>
            <w:r>
              <w:t>50</w:t>
            </w:r>
          </w:p>
          <w:p w:rsidR="00D12C71" w:rsidRDefault="00D12C71" w:rsidP="004A79D5">
            <w:pPr>
              <w:spacing w:before="80" w:after="120"/>
            </w:pPr>
          </w:p>
          <w:p w:rsidR="009573C4" w:rsidRPr="00E415F8" w:rsidRDefault="009573C4" w:rsidP="004A79D5">
            <w:pPr>
              <w:spacing w:before="80" w:after="120"/>
              <w:rPr>
                <w:sz w:val="12"/>
                <w:szCs w:val="12"/>
              </w:rPr>
            </w:pPr>
          </w:p>
          <w:p w:rsidR="006A4B32" w:rsidRDefault="006A4B32" w:rsidP="004A79D5">
            <w:pPr>
              <w:spacing w:before="80" w:after="120"/>
            </w:pPr>
            <w:r>
              <w:t>50</w:t>
            </w:r>
          </w:p>
        </w:tc>
        <w:tc>
          <w:tcPr>
            <w:tcW w:w="1560" w:type="dxa"/>
          </w:tcPr>
          <w:p w:rsidR="004A404D" w:rsidRDefault="00D60FA1" w:rsidP="004A79D5">
            <w:pPr>
              <w:spacing w:before="80" w:after="120"/>
            </w:pPr>
            <w:r>
              <w:t>$900</w:t>
            </w:r>
          </w:p>
          <w:p w:rsidR="00D60FA1" w:rsidRDefault="00D60FA1" w:rsidP="004A79D5">
            <w:pPr>
              <w:spacing w:before="80" w:after="120"/>
            </w:pPr>
          </w:p>
          <w:p w:rsidR="00D60FA1" w:rsidRDefault="00D60FA1" w:rsidP="004A79D5">
            <w:pPr>
              <w:spacing w:before="80" w:after="120"/>
            </w:pPr>
          </w:p>
          <w:p w:rsidR="00D60FA1" w:rsidRDefault="00D60FA1" w:rsidP="004A79D5">
            <w:pPr>
              <w:spacing w:before="80" w:after="120"/>
            </w:pPr>
            <w:r>
              <w:t>$</w:t>
            </w:r>
            <w:r w:rsidR="0007200C">
              <w:t>1,500</w:t>
            </w:r>
          </w:p>
          <w:p w:rsidR="0007200C" w:rsidRDefault="0007200C" w:rsidP="004A79D5">
            <w:pPr>
              <w:spacing w:before="80" w:after="120"/>
            </w:pPr>
          </w:p>
          <w:p w:rsidR="0007200C" w:rsidRPr="000E0D5E" w:rsidRDefault="0007200C" w:rsidP="004A79D5">
            <w:pPr>
              <w:spacing w:before="80" w:after="120"/>
              <w:rPr>
                <w:sz w:val="16"/>
                <w:szCs w:val="16"/>
              </w:rPr>
            </w:pPr>
          </w:p>
          <w:p w:rsidR="0007200C" w:rsidRDefault="0007200C" w:rsidP="004A79D5">
            <w:pPr>
              <w:spacing w:before="80" w:after="120"/>
            </w:pPr>
            <w:r>
              <w:t>$3,000</w:t>
            </w:r>
          </w:p>
          <w:p w:rsidR="0007200C" w:rsidRDefault="0007200C" w:rsidP="004A79D5">
            <w:pPr>
              <w:spacing w:before="80" w:after="120"/>
            </w:pPr>
          </w:p>
          <w:p w:rsidR="0007200C" w:rsidRPr="000E0D5E" w:rsidRDefault="0007200C" w:rsidP="004A79D5">
            <w:pPr>
              <w:spacing w:before="80" w:after="120"/>
              <w:rPr>
                <w:sz w:val="8"/>
                <w:szCs w:val="8"/>
              </w:rPr>
            </w:pPr>
          </w:p>
          <w:p w:rsidR="0007200C" w:rsidRDefault="0007200C" w:rsidP="004A79D5">
            <w:pPr>
              <w:spacing w:before="80" w:after="120"/>
            </w:pPr>
            <w:r>
              <w:t>$3,000</w:t>
            </w:r>
          </w:p>
        </w:tc>
      </w:tr>
      <w:tr w:rsidR="004A404D" w:rsidTr="004A404D">
        <w:tc>
          <w:tcPr>
            <w:tcW w:w="3681" w:type="dxa"/>
          </w:tcPr>
          <w:p w:rsidR="004A404D" w:rsidRPr="00CB350E" w:rsidRDefault="004A404D" w:rsidP="006A4B32">
            <w:pPr>
              <w:pStyle w:val="ListParagraph"/>
              <w:numPr>
                <w:ilvl w:val="0"/>
                <w:numId w:val="34"/>
              </w:numPr>
              <w:spacing w:before="80" w:after="120"/>
              <w:rPr>
                <w:rFonts w:ascii="Arial" w:hAnsi="Arial" w:cs="Arial"/>
                <w:color w:val="1F3864" w:themeColor="accent5" w:themeShade="80"/>
                <w:u w:val="single"/>
              </w:rPr>
            </w:pPr>
            <w:r w:rsidRPr="00CB350E">
              <w:rPr>
                <w:rFonts w:ascii="Arial" w:hAnsi="Arial" w:cs="Arial"/>
                <w:color w:val="1F3864" w:themeColor="accent5" w:themeShade="80"/>
                <w:u w:val="single"/>
              </w:rPr>
              <w:t>Employer</w:t>
            </w:r>
            <w:r w:rsidR="001D1417" w:rsidRPr="00CB350E">
              <w:rPr>
                <w:rFonts w:ascii="Arial" w:hAnsi="Arial" w:cs="Arial"/>
                <w:color w:val="1F3864" w:themeColor="accent5" w:themeShade="80"/>
                <w:u w:val="single"/>
              </w:rPr>
              <w:t>/stakeholder</w:t>
            </w:r>
            <w:r w:rsidRPr="00CB350E">
              <w:rPr>
                <w:rFonts w:ascii="Arial" w:hAnsi="Arial" w:cs="Arial"/>
                <w:color w:val="1F3864" w:themeColor="accent5" w:themeShade="80"/>
                <w:u w:val="single"/>
              </w:rPr>
              <w:t xml:space="preserve"> Engagement </w:t>
            </w:r>
          </w:p>
          <w:p w:rsidR="004A404D" w:rsidRPr="00CB350E" w:rsidRDefault="004A404D" w:rsidP="004A79D5">
            <w:pPr>
              <w:pStyle w:val="ListParagraph"/>
              <w:spacing w:before="80" w:after="120"/>
              <w:ind w:left="360"/>
              <w:rPr>
                <w:rFonts w:ascii="Arial" w:hAnsi="Arial" w:cs="Arial"/>
                <w:color w:val="1F3864" w:themeColor="accent5" w:themeShade="80"/>
                <w:u w:val="single"/>
              </w:rPr>
            </w:pPr>
            <w:r w:rsidRPr="00CB350E">
              <w:rPr>
                <w:rFonts w:ascii="Arial" w:hAnsi="Arial" w:cs="Arial"/>
                <w:color w:val="1F3864" w:themeColor="accent5" w:themeShade="80"/>
                <w:u w:val="single"/>
              </w:rPr>
              <w:t>And Development</w:t>
            </w:r>
          </w:p>
          <w:p w:rsidR="00090B5B" w:rsidRDefault="00090B5B" w:rsidP="004A79D5">
            <w:pPr>
              <w:pStyle w:val="ListParagraph"/>
              <w:spacing w:before="80" w:after="120"/>
              <w:ind w:left="360"/>
              <w:rPr>
                <w:rFonts w:ascii="Arial" w:hAnsi="Arial" w:cs="Arial"/>
                <w:b w:val="0"/>
                <w:u w:val="single"/>
              </w:rPr>
            </w:pPr>
          </w:p>
          <w:p w:rsidR="00291109" w:rsidRDefault="00090B5B" w:rsidP="00291109">
            <w:pPr>
              <w:pStyle w:val="ListParagraph"/>
              <w:spacing w:before="80" w:after="120"/>
              <w:ind w:left="360"/>
              <w:rPr>
                <w:rFonts w:ascii="Arial" w:hAnsi="Arial" w:cs="Arial"/>
                <w:b w:val="0"/>
              </w:rPr>
            </w:pPr>
            <w:r>
              <w:rPr>
                <w:rFonts w:ascii="Arial" w:hAnsi="Arial" w:cs="Arial"/>
                <w:b w:val="0"/>
              </w:rPr>
              <w:t>(upon application)</w:t>
            </w:r>
          </w:p>
          <w:p w:rsidR="00291109" w:rsidRDefault="00291109" w:rsidP="00291109">
            <w:pPr>
              <w:pStyle w:val="ListParagraph"/>
              <w:spacing w:before="80" w:after="120"/>
              <w:ind w:left="360"/>
              <w:rPr>
                <w:rFonts w:ascii="Arial" w:hAnsi="Arial" w:cs="Arial"/>
                <w:b w:val="0"/>
              </w:rPr>
            </w:pPr>
          </w:p>
          <w:p w:rsidR="001D1417" w:rsidRPr="00291109" w:rsidRDefault="00291109" w:rsidP="00291109">
            <w:pPr>
              <w:spacing w:before="80" w:after="120"/>
              <w:rPr>
                <w:rFonts w:ascii="Arial" w:hAnsi="Arial" w:cs="Arial"/>
                <w:b w:val="0"/>
              </w:rPr>
            </w:pPr>
            <w:r w:rsidRPr="00291109">
              <w:rPr>
                <w:rFonts w:ascii="Arial" w:hAnsi="Arial" w:cs="Arial"/>
                <w:b w:val="0"/>
              </w:rPr>
              <w:t>(</w:t>
            </w:r>
            <w:r w:rsidR="001D1417" w:rsidRPr="00291109">
              <w:rPr>
                <w:rFonts w:ascii="Arial" w:hAnsi="Arial" w:cs="Arial"/>
                <w:b w:val="0"/>
              </w:rPr>
              <w:t>Practice Guidelines 7 and 8)</w:t>
            </w:r>
          </w:p>
        </w:tc>
        <w:tc>
          <w:tcPr>
            <w:tcW w:w="7513" w:type="dxa"/>
          </w:tcPr>
          <w:p w:rsidR="00056D6F" w:rsidRPr="00056D6F" w:rsidRDefault="00DC1F67" w:rsidP="00056D6F">
            <w:pPr>
              <w:pStyle w:val="ListParagraph"/>
              <w:numPr>
                <w:ilvl w:val="1"/>
                <w:numId w:val="41"/>
              </w:numPr>
              <w:spacing w:before="80" w:after="120"/>
              <w:rPr>
                <w:sz w:val="28"/>
                <w:szCs w:val="28"/>
                <w:u w:val="single"/>
              </w:rPr>
            </w:pPr>
            <w:r w:rsidRPr="00056D6F">
              <w:rPr>
                <w:color w:val="385623" w:themeColor="accent6" w:themeShade="80"/>
                <w:sz w:val="28"/>
                <w:szCs w:val="28"/>
                <w:u w:val="single"/>
              </w:rPr>
              <w:t>Inclusion or Accessibility Audit service</w:t>
            </w:r>
          </w:p>
          <w:p w:rsidR="00D12C71" w:rsidRPr="00056D6F" w:rsidRDefault="00D12C71" w:rsidP="0048783A">
            <w:pPr>
              <w:pStyle w:val="ListParagraph"/>
              <w:numPr>
                <w:ilvl w:val="0"/>
                <w:numId w:val="16"/>
              </w:numPr>
              <w:spacing w:before="80" w:after="120"/>
              <w:ind w:left="714" w:hanging="357"/>
              <w:rPr>
                <w:sz w:val="28"/>
                <w:szCs w:val="28"/>
                <w:u w:val="single"/>
              </w:rPr>
            </w:pPr>
            <w:r w:rsidRPr="00056D6F">
              <w:t>Recognised/accredited programmes</w:t>
            </w:r>
          </w:p>
          <w:p w:rsidR="00D12C71" w:rsidRPr="00D12C71" w:rsidRDefault="00D12C71" w:rsidP="00D12C71">
            <w:pPr>
              <w:spacing w:before="80" w:after="120"/>
              <w:rPr>
                <w:sz w:val="28"/>
                <w:szCs w:val="28"/>
              </w:rPr>
            </w:pPr>
            <w:r w:rsidRPr="00E415F8">
              <w:rPr>
                <w:color w:val="385623" w:themeColor="accent6" w:themeShade="80"/>
                <w:sz w:val="28"/>
                <w:szCs w:val="28"/>
              </w:rPr>
              <w:t>6.2</w:t>
            </w:r>
            <w:r w:rsidRPr="00D12C71">
              <w:rPr>
                <w:sz w:val="28"/>
                <w:szCs w:val="28"/>
              </w:rPr>
              <w:t xml:space="preserve"> </w:t>
            </w:r>
            <w:r w:rsidRPr="00CB350E">
              <w:rPr>
                <w:color w:val="385623" w:themeColor="accent6" w:themeShade="80"/>
                <w:sz w:val="28"/>
                <w:szCs w:val="28"/>
                <w:u w:val="single"/>
              </w:rPr>
              <w:t>Confident Employer training sessions</w:t>
            </w:r>
          </w:p>
          <w:p w:rsidR="00D12C71" w:rsidRPr="00D12C71" w:rsidRDefault="00D12C71" w:rsidP="004A79D5">
            <w:pPr>
              <w:pStyle w:val="ListParagraph"/>
              <w:numPr>
                <w:ilvl w:val="0"/>
                <w:numId w:val="16"/>
              </w:numPr>
              <w:spacing w:before="80" w:after="120"/>
            </w:pPr>
            <w:r>
              <w:t>Recognised/accredited programmes</w:t>
            </w:r>
          </w:p>
          <w:p w:rsidR="00D12C71" w:rsidRPr="00D12C71" w:rsidRDefault="003E7BEE" w:rsidP="00E415F8">
            <w:pPr>
              <w:pStyle w:val="ListParagraph"/>
              <w:numPr>
                <w:ilvl w:val="1"/>
                <w:numId w:val="42"/>
              </w:numPr>
              <w:spacing w:before="80" w:after="120"/>
              <w:rPr>
                <w:sz w:val="28"/>
                <w:szCs w:val="28"/>
                <w:u w:val="single"/>
              </w:rPr>
            </w:pPr>
            <w:r>
              <w:rPr>
                <w:sz w:val="28"/>
                <w:szCs w:val="28"/>
                <w:u w:val="single"/>
              </w:rPr>
              <w:t xml:space="preserve"> </w:t>
            </w:r>
            <w:r w:rsidR="00A1029A" w:rsidRPr="00CB350E">
              <w:rPr>
                <w:color w:val="385623" w:themeColor="accent6" w:themeShade="80"/>
                <w:sz w:val="28"/>
                <w:szCs w:val="28"/>
                <w:u w:val="single"/>
              </w:rPr>
              <w:t xml:space="preserve">Marketing </w:t>
            </w:r>
            <w:r w:rsidR="00B340BC" w:rsidRPr="00CB350E">
              <w:rPr>
                <w:color w:val="385623" w:themeColor="accent6" w:themeShade="80"/>
                <w:sz w:val="28"/>
                <w:szCs w:val="28"/>
                <w:u w:val="single"/>
              </w:rPr>
              <w:t>and brand awareness project activity</w:t>
            </w:r>
            <w:r w:rsidR="00D12C71" w:rsidRPr="00CB350E">
              <w:rPr>
                <w:color w:val="385623" w:themeColor="accent6" w:themeShade="80"/>
                <w:sz w:val="28"/>
                <w:szCs w:val="28"/>
                <w:u w:val="single"/>
              </w:rPr>
              <w:t xml:space="preserve"> </w:t>
            </w:r>
          </w:p>
          <w:p w:rsidR="00D12C71" w:rsidRPr="003E7BEE" w:rsidRDefault="003E7BEE" w:rsidP="003E7BEE">
            <w:pPr>
              <w:pStyle w:val="ListParagraph"/>
              <w:numPr>
                <w:ilvl w:val="0"/>
                <w:numId w:val="16"/>
              </w:numPr>
              <w:spacing w:before="80" w:after="120"/>
              <w:rPr>
                <w:sz w:val="28"/>
                <w:szCs w:val="28"/>
                <w:u w:val="single"/>
              </w:rPr>
            </w:pPr>
            <w:r w:rsidRPr="003E7BEE">
              <w:t xml:space="preserve">Involving </w:t>
            </w:r>
            <w:r w:rsidR="00D12C71" w:rsidRPr="003E7BEE">
              <w:t xml:space="preserve">employers, stakeholders, </w:t>
            </w:r>
            <w:r w:rsidR="005E384C" w:rsidRPr="003E7BEE">
              <w:t>families and whanau</w:t>
            </w:r>
            <w:r w:rsidR="00D80B65" w:rsidRPr="003E7BEE">
              <w:rPr>
                <w:sz w:val="28"/>
                <w:szCs w:val="28"/>
                <w:u w:val="single"/>
              </w:rPr>
              <w:t xml:space="preserve">  </w:t>
            </w:r>
          </w:p>
          <w:p w:rsidR="00DC1F67" w:rsidRPr="00D12C71" w:rsidRDefault="00D12C71" w:rsidP="00D12C71">
            <w:pPr>
              <w:pStyle w:val="ListParagraph"/>
              <w:numPr>
                <w:ilvl w:val="0"/>
                <w:numId w:val="16"/>
              </w:numPr>
              <w:spacing w:before="80" w:after="120"/>
            </w:pPr>
            <w:r>
              <w:t>Proposal</w:t>
            </w:r>
            <w:r w:rsidR="003E7BEE">
              <w:t>s</w:t>
            </w:r>
            <w:r>
              <w:t xml:space="preserve"> that emphasise collaborative effort across agencies and communities</w:t>
            </w:r>
          </w:p>
        </w:tc>
        <w:tc>
          <w:tcPr>
            <w:tcW w:w="1275" w:type="dxa"/>
          </w:tcPr>
          <w:p w:rsidR="004A404D" w:rsidRDefault="00090B5B" w:rsidP="009D5EC6">
            <w:pPr>
              <w:spacing w:before="100"/>
            </w:pPr>
            <w:r>
              <w:t>Up to 100</w:t>
            </w:r>
            <w:r w:rsidR="009573C4">
              <w:t xml:space="preserve"> </w:t>
            </w:r>
            <w:r>
              <w:t xml:space="preserve">hrs </w:t>
            </w:r>
          </w:p>
          <w:p w:rsidR="00BB3C33" w:rsidRPr="009D5EC6" w:rsidRDefault="00BB3C33" w:rsidP="009D5EC6">
            <w:pPr>
              <w:rPr>
                <w:sz w:val="12"/>
                <w:szCs w:val="12"/>
              </w:rPr>
            </w:pPr>
          </w:p>
          <w:p w:rsidR="00BB3C33" w:rsidRDefault="00BB3C33" w:rsidP="009D5EC6">
            <w:pPr>
              <w:spacing w:before="80"/>
            </w:pPr>
            <w:r>
              <w:t>Up to 100 hrs</w:t>
            </w:r>
          </w:p>
          <w:p w:rsidR="00BB3C33" w:rsidRPr="009D5EC6" w:rsidRDefault="00BB3C33" w:rsidP="009D5EC6">
            <w:pPr>
              <w:rPr>
                <w:sz w:val="12"/>
                <w:szCs w:val="12"/>
              </w:rPr>
            </w:pPr>
          </w:p>
          <w:p w:rsidR="00BB3C33" w:rsidRDefault="00BB3C33" w:rsidP="00090B5B">
            <w:pPr>
              <w:spacing w:before="80" w:after="120"/>
            </w:pPr>
            <w:r>
              <w:t>Up to 100 hrs</w:t>
            </w:r>
          </w:p>
        </w:tc>
        <w:tc>
          <w:tcPr>
            <w:tcW w:w="1560" w:type="dxa"/>
          </w:tcPr>
          <w:p w:rsidR="004A404D" w:rsidRDefault="0007200C" w:rsidP="004A79D5">
            <w:pPr>
              <w:spacing w:before="80" w:after="120"/>
            </w:pPr>
            <w:r>
              <w:t>$6,000</w:t>
            </w:r>
          </w:p>
          <w:p w:rsidR="0007200C" w:rsidRDefault="0007200C" w:rsidP="004A79D5">
            <w:pPr>
              <w:spacing w:before="80" w:after="120"/>
            </w:pPr>
          </w:p>
          <w:p w:rsidR="0007200C" w:rsidRDefault="0007200C" w:rsidP="004A79D5">
            <w:pPr>
              <w:spacing w:before="80" w:after="120"/>
            </w:pPr>
            <w:r>
              <w:t>$6,000</w:t>
            </w:r>
          </w:p>
          <w:p w:rsidR="0007200C" w:rsidRDefault="0007200C" w:rsidP="004A79D5">
            <w:pPr>
              <w:spacing w:before="80" w:after="120"/>
            </w:pPr>
          </w:p>
          <w:p w:rsidR="0007200C" w:rsidRDefault="0007200C" w:rsidP="004A79D5">
            <w:pPr>
              <w:spacing w:before="80" w:after="120"/>
            </w:pPr>
            <w:r>
              <w:t>$6,000</w:t>
            </w:r>
          </w:p>
        </w:tc>
      </w:tr>
    </w:tbl>
    <w:p w:rsidR="00CF3D82" w:rsidRDefault="00CF3D82"/>
    <w:p w:rsidR="0043243C" w:rsidRDefault="0043243C" w:rsidP="0043243C">
      <w:pPr>
        <w:rPr>
          <w:b/>
          <w:sz w:val="28"/>
          <w:szCs w:val="28"/>
        </w:rPr>
      </w:pPr>
    </w:p>
    <w:p w:rsidR="0043243C" w:rsidRPr="0043243C" w:rsidRDefault="0043243C" w:rsidP="0043243C">
      <w:pPr>
        <w:rPr>
          <w:b/>
          <w:sz w:val="28"/>
          <w:szCs w:val="28"/>
        </w:rPr>
      </w:pPr>
      <w:r w:rsidRPr="0043243C">
        <w:rPr>
          <w:b/>
          <w:sz w:val="28"/>
          <w:szCs w:val="28"/>
        </w:rPr>
        <w:t>To facilitate discussion, analysis and feedback</w:t>
      </w:r>
      <w:r>
        <w:rPr>
          <w:b/>
          <w:sz w:val="28"/>
          <w:szCs w:val="28"/>
        </w:rPr>
        <w:t xml:space="preserve"> a draft of this template and supporting notes were</w:t>
      </w:r>
      <w:r w:rsidRPr="0043243C">
        <w:rPr>
          <w:b/>
          <w:sz w:val="28"/>
          <w:szCs w:val="28"/>
        </w:rPr>
        <w:t xml:space="preserve"> shared with the NZDSN Employment Advisory Committee, other providers and </w:t>
      </w:r>
      <w:r>
        <w:rPr>
          <w:b/>
          <w:sz w:val="28"/>
          <w:szCs w:val="28"/>
        </w:rPr>
        <w:t xml:space="preserve">the </w:t>
      </w:r>
      <w:r w:rsidRPr="0043243C">
        <w:rPr>
          <w:b/>
          <w:sz w:val="28"/>
          <w:szCs w:val="28"/>
        </w:rPr>
        <w:t>consultants involved in the development of the Employment Support Diploma qualification</w:t>
      </w:r>
      <w:r>
        <w:rPr>
          <w:b/>
          <w:sz w:val="28"/>
          <w:szCs w:val="28"/>
        </w:rPr>
        <w:t>. Zoom sessions were held to consolidate and further analyse feedback.</w:t>
      </w:r>
    </w:p>
    <w:p w:rsidR="00436310" w:rsidRDefault="00436310" w:rsidP="00F33B8D">
      <w:pPr>
        <w:rPr>
          <w:rFonts w:ascii="Arial Mäori" w:hAnsi="Arial Mäori"/>
        </w:rPr>
      </w:pPr>
    </w:p>
    <w:p w:rsidR="0043243C" w:rsidRDefault="0043243C" w:rsidP="00F33B8D">
      <w:pPr>
        <w:rPr>
          <w:rFonts w:ascii="Arial Mäori" w:hAnsi="Arial Mäori"/>
          <w:b/>
          <w:color w:val="385623" w:themeColor="accent6" w:themeShade="80"/>
          <w:sz w:val="36"/>
          <w:szCs w:val="36"/>
        </w:rPr>
      </w:pPr>
    </w:p>
    <w:p w:rsidR="00C70CD0" w:rsidRPr="00CB350E" w:rsidRDefault="00C70CD0" w:rsidP="00F33B8D">
      <w:pPr>
        <w:rPr>
          <w:rFonts w:ascii="Arial Mäori" w:hAnsi="Arial Mäori"/>
          <w:b/>
          <w:color w:val="385623" w:themeColor="accent6" w:themeShade="80"/>
          <w:sz w:val="36"/>
          <w:szCs w:val="36"/>
        </w:rPr>
      </w:pPr>
      <w:r w:rsidRPr="00CB350E">
        <w:rPr>
          <w:rFonts w:ascii="Arial Mäori" w:hAnsi="Arial Mäori"/>
          <w:b/>
          <w:color w:val="385623" w:themeColor="accent6" w:themeShade="80"/>
          <w:sz w:val="36"/>
          <w:szCs w:val="36"/>
        </w:rPr>
        <w:t>Commentary</w:t>
      </w:r>
    </w:p>
    <w:p w:rsidR="00C70CD0" w:rsidRPr="00CB350E" w:rsidRDefault="00C70CD0" w:rsidP="00F33B8D">
      <w:pPr>
        <w:rPr>
          <w:rFonts w:ascii="Arial Mäori" w:hAnsi="Arial Mäori"/>
          <w:b/>
          <w:color w:val="385623" w:themeColor="accent6" w:themeShade="80"/>
          <w:sz w:val="28"/>
          <w:szCs w:val="28"/>
        </w:rPr>
      </w:pPr>
      <w:r w:rsidRPr="00CB350E">
        <w:rPr>
          <w:rFonts w:ascii="Arial Mäori" w:hAnsi="Arial Mäori"/>
          <w:b/>
          <w:color w:val="385623" w:themeColor="accent6" w:themeShade="80"/>
          <w:sz w:val="28"/>
          <w:szCs w:val="28"/>
        </w:rPr>
        <w:t>The intent</w:t>
      </w:r>
      <w:r w:rsidR="00436310" w:rsidRPr="00CB350E">
        <w:rPr>
          <w:rFonts w:ascii="Arial Mäori" w:hAnsi="Arial Mäori"/>
          <w:b/>
          <w:color w:val="385623" w:themeColor="accent6" w:themeShade="80"/>
          <w:sz w:val="28"/>
          <w:szCs w:val="28"/>
        </w:rPr>
        <w:t xml:space="preserve"> of the proposed changes:</w:t>
      </w:r>
    </w:p>
    <w:p w:rsidR="00436310" w:rsidRPr="00436310" w:rsidRDefault="00BC46BB" w:rsidP="00436310">
      <w:pPr>
        <w:pStyle w:val="ListParagraph"/>
        <w:numPr>
          <w:ilvl w:val="0"/>
          <w:numId w:val="35"/>
        </w:numPr>
        <w:rPr>
          <w:rFonts w:ascii="Arial Mäori" w:hAnsi="Arial Mäori"/>
        </w:rPr>
      </w:pPr>
      <w:r>
        <w:rPr>
          <w:rFonts w:ascii="Arial Mäori" w:hAnsi="Arial Mäori"/>
        </w:rPr>
        <w:t>To a</w:t>
      </w:r>
      <w:r w:rsidR="00436310">
        <w:rPr>
          <w:rFonts w:ascii="Arial Mäori" w:hAnsi="Arial Mäori"/>
        </w:rPr>
        <w:t>lign the allocation of effort (hours) to those activities that will increase the likelihood of an employment outcome as evidenced in the Employment Support Practice Guidelines</w:t>
      </w:r>
    </w:p>
    <w:p w:rsidR="00436310" w:rsidRDefault="00BC46BB" w:rsidP="00436310">
      <w:pPr>
        <w:pStyle w:val="ListParagraph"/>
        <w:numPr>
          <w:ilvl w:val="0"/>
          <w:numId w:val="35"/>
        </w:numPr>
        <w:rPr>
          <w:rFonts w:ascii="Arial Mäori" w:hAnsi="Arial Mäori"/>
        </w:rPr>
      </w:pPr>
      <w:r>
        <w:rPr>
          <w:rFonts w:ascii="Arial Mäori" w:hAnsi="Arial Mäori"/>
        </w:rPr>
        <w:t>To r</w:t>
      </w:r>
      <w:r w:rsidR="00436310">
        <w:rPr>
          <w:rFonts w:ascii="Arial Mäori" w:hAnsi="Arial Mäori"/>
        </w:rPr>
        <w:t>ecognise that a bigger investment in job development activities and the first 3 month’s post placement support will more likely lead to sustainable employment outcomes</w:t>
      </w:r>
      <w:r w:rsidR="00427529">
        <w:rPr>
          <w:rFonts w:ascii="Arial Mäori" w:hAnsi="Arial Mäori"/>
        </w:rPr>
        <w:t xml:space="preserve">. </w:t>
      </w:r>
    </w:p>
    <w:p w:rsidR="00436310" w:rsidRDefault="00BC46BB" w:rsidP="00436310">
      <w:pPr>
        <w:pStyle w:val="ListParagraph"/>
        <w:numPr>
          <w:ilvl w:val="0"/>
          <w:numId w:val="35"/>
        </w:numPr>
        <w:rPr>
          <w:rFonts w:ascii="Arial Mäori" w:hAnsi="Arial Mäori"/>
        </w:rPr>
      </w:pPr>
      <w:r>
        <w:rPr>
          <w:rFonts w:ascii="Arial Mäori" w:hAnsi="Arial Mäori"/>
        </w:rPr>
        <w:t>To r</w:t>
      </w:r>
      <w:r w:rsidR="00436310">
        <w:rPr>
          <w:rFonts w:ascii="Arial Mäori" w:hAnsi="Arial Mäori"/>
        </w:rPr>
        <w:t>eflect a “pathways” approach based on the degree of customisation rather than the current SLI rating system</w:t>
      </w:r>
      <w:r w:rsidR="00855E8F">
        <w:rPr>
          <w:rFonts w:ascii="Arial Mäori" w:hAnsi="Arial Mäori"/>
        </w:rPr>
        <w:t xml:space="preserve"> which can easily under or over represent the support required.</w:t>
      </w:r>
    </w:p>
    <w:p w:rsidR="00956A02" w:rsidRDefault="00BC46BB" w:rsidP="00436310">
      <w:pPr>
        <w:pStyle w:val="ListParagraph"/>
        <w:numPr>
          <w:ilvl w:val="0"/>
          <w:numId w:val="35"/>
        </w:numPr>
        <w:rPr>
          <w:rFonts w:ascii="Arial Mäori" w:hAnsi="Arial Mäori"/>
        </w:rPr>
      </w:pPr>
      <w:r>
        <w:rPr>
          <w:rFonts w:ascii="Arial Mäori" w:hAnsi="Arial Mäori"/>
        </w:rPr>
        <w:t>To d</w:t>
      </w:r>
      <w:r w:rsidR="00956A02">
        <w:rPr>
          <w:rFonts w:ascii="Arial Mäori" w:hAnsi="Arial Mäori"/>
        </w:rPr>
        <w:t>is-incentivise “place and pray” approaches where the focus is on short term outputs</w:t>
      </w:r>
      <w:r w:rsidR="00855E8F">
        <w:rPr>
          <w:rFonts w:ascii="Arial Mäori" w:hAnsi="Arial Mäori"/>
        </w:rPr>
        <w:t xml:space="preserve"> (enrolment/planning and </w:t>
      </w:r>
      <w:r>
        <w:rPr>
          <w:rFonts w:ascii="Arial Mäori" w:hAnsi="Arial Mäori"/>
        </w:rPr>
        <w:t>three-month</w:t>
      </w:r>
      <w:r w:rsidR="00956A02">
        <w:rPr>
          <w:rFonts w:ascii="Arial Mäori" w:hAnsi="Arial Mäori"/>
        </w:rPr>
        <w:t xml:space="preserve"> employment milestones</w:t>
      </w:r>
      <w:r>
        <w:rPr>
          <w:rFonts w:ascii="Arial Mäori" w:hAnsi="Arial Mäori"/>
        </w:rPr>
        <w:t xml:space="preserve"> – with a wage subsidy thrown in for good measure</w:t>
      </w:r>
      <w:r w:rsidR="00956A02">
        <w:rPr>
          <w:rFonts w:ascii="Arial Mäori" w:hAnsi="Arial Mäori"/>
        </w:rPr>
        <w:t xml:space="preserve">) rather </w:t>
      </w:r>
      <w:r>
        <w:rPr>
          <w:rFonts w:ascii="Arial Mäori" w:hAnsi="Arial Mäori"/>
        </w:rPr>
        <w:t xml:space="preserve">than </w:t>
      </w:r>
      <w:r w:rsidR="00956A02">
        <w:rPr>
          <w:rFonts w:ascii="Arial Mäori" w:hAnsi="Arial Mäori"/>
        </w:rPr>
        <w:t>more sustainable employment outcomes of 12 months and beyond.</w:t>
      </w:r>
    </w:p>
    <w:p w:rsidR="00BC46BB" w:rsidRDefault="00BC46BB" w:rsidP="00436310">
      <w:pPr>
        <w:pStyle w:val="ListParagraph"/>
        <w:numPr>
          <w:ilvl w:val="0"/>
          <w:numId w:val="35"/>
        </w:numPr>
        <w:rPr>
          <w:rFonts w:ascii="Arial Mäori" w:hAnsi="Arial Mäori"/>
        </w:rPr>
      </w:pPr>
      <w:r>
        <w:rPr>
          <w:rFonts w:ascii="Arial Mäori" w:hAnsi="Arial Mäori"/>
        </w:rPr>
        <w:lastRenderedPageBreak/>
        <w:t>To reduce the number of “price points” in a milestone payments system and thus reduce the administrative burden</w:t>
      </w:r>
    </w:p>
    <w:p w:rsidR="00566C36" w:rsidRDefault="00566C36" w:rsidP="00436310">
      <w:pPr>
        <w:pStyle w:val="ListParagraph"/>
        <w:numPr>
          <w:ilvl w:val="0"/>
          <w:numId w:val="35"/>
        </w:numPr>
        <w:rPr>
          <w:rFonts w:ascii="Arial Mäori" w:hAnsi="Arial Mäori"/>
        </w:rPr>
      </w:pPr>
      <w:r>
        <w:rPr>
          <w:rFonts w:ascii="Arial Mäori" w:hAnsi="Arial Mäori"/>
        </w:rPr>
        <w:t>To increase the hours available for ongoing and ad hoc support – these have been combined into single payment within each of the proposed employment pathways.</w:t>
      </w:r>
    </w:p>
    <w:p w:rsidR="00166D17" w:rsidRDefault="00166D17" w:rsidP="00436310">
      <w:pPr>
        <w:pStyle w:val="ListParagraph"/>
        <w:numPr>
          <w:ilvl w:val="0"/>
          <w:numId w:val="35"/>
        </w:numPr>
        <w:rPr>
          <w:rFonts w:ascii="Arial Mäori" w:hAnsi="Arial Mäori"/>
        </w:rPr>
      </w:pPr>
      <w:r>
        <w:rPr>
          <w:rFonts w:ascii="Arial Mäori" w:hAnsi="Arial Mäori"/>
        </w:rPr>
        <w:t>A recognition of self-employment as a valued employment pathway.</w:t>
      </w:r>
    </w:p>
    <w:p w:rsidR="00FC110D" w:rsidRDefault="00FC110D" w:rsidP="00436310">
      <w:pPr>
        <w:pStyle w:val="ListParagraph"/>
        <w:numPr>
          <w:ilvl w:val="0"/>
          <w:numId w:val="35"/>
        </w:numPr>
        <w:rPr>
          <w:rFonts w:ascii="Arial Mäori" w:hAnsi="Arial Mäori"/>
        </w:rPr>
      </w:pPr>
      <w:r>
        <w:rPr>
          <w:rFonts w:ascii="Arial Mäori" w:hAnsi="Arial Mäori"/>
        </w:rPr>
        <w:t>To recognise the value of a training pathway when this is linked to a specific employment outcome – both for school leavers and post school.</w:t>
      </w:r>
    </w:p>
    <w:p w:rsidR="00410E9E" w:rsidRDefault="00410E9E" w:rsidP="00436310">
      <w:pPr>
        <w:pStyle w:val="ListParagraph"/>
        <w:numPr>
          <w:ilvl w:val="0"/>
          <w:numId w:val="35"/>
        </w:numPr>
        <w:rPr>
          <w:rFonts w:ascii="Arial Mäori" w:hAnsi="Arial Mäori"/>
        </w:rPr>
      </w:pPr>
      <w:r>
        <w:rPr>
          <w:rFonts w:ascii="Arial Mäori" w:hAnsi="Arial Mäori"/>
        </w:rPr>
        <w:t>A final service component has been added (as additional hours) to focus on innovative approaches on the demand side of the employment equation</w:t>
      </w:r>
      <w:r w:rsidR="00245A22">
        <w:rPr>
          <w:rFonts w:ascii="Arial Mäori" w:hAnsi="Arial Mäori"/>
        </w:rPr>
        <w:t>:</w:t>
      </w:r>
      <w:r w:rsidR="003D140B">
        <w:rPr>
          <w:rFonts w:ascii="Arial Mäori" w:hAnsi="Arial Mäori"/>
        </w:rPr>
        <w:t xml:space="preserve"> Supporting employer confidence and family aspiration. This could operate along the lines of an “innovations fund.”</w:t>
      </w:r>
    </w:p>
    <w:p w:rsidR="00566C36" w:rsidRDefault="00566C36" w:rsidP="00566C36">
      <w:pPr>
        <w:pStyle w:val="ListParagraph"/>
        <w:rPr>
          <w:rFonts w:ascii="Arial Mäori" w:hAnsi="Arial Mäori"/>
        </w:rPr>
      </w:pPr>
    </w:p>
    <w:p w:rsidR="00436310" w:rsidRPr="00CB350E" w:rsidRDefault="00436310" w:rsidP="00436310">
      <w:pPr>
        <w:rPr>
          <w:rFonts w:ascii="Arial Mäori" w:hAnsi="Arial Mäori"/>
          <w:b/>
          <w:color w:val="385623" w:themeColor="accent6" w:themeShade="80"/>
          <w:sz w:val="28"/>
          <w:szCs w:val="28"/>
        </w:rPr>
      </w:pPr>
      <w:r w:rsidRPr="00CB350E">
        <w:rPr>
          <w:rFonts w:ascii="Arial Mäori" w:hAnsi="Arial Mäori"/>
          <w:b/>
          <w:color w:val="385623" w:themeColor="accent6" w:themeShade="80"/>
          <w:sz w:val="28"/>
          <w:szCs w:val="28"/>
        </w:rPr>
        <w:t>The main changes are:</w:t>
      </w:r>
    </w:p>
    <w:p w:rsidR="00436310" w:rsidRPr="009D5EC6" w:rsidRDefault="005D11CF" w:rsidP="009D5EC6">
      <w:pPr>
        <w:pStyle w:val="ListParagraph"/>
        <w:numPr>
          <w:ilvl w:val="0"/>
          <w:numId w:val="43"/>
        </w:numPr>
        <w:rPr>
          <w:rFonts w:ascii="Arial Mäori" w:hAnsi="Arial Mäori"/>
        </w:rPr>
      </w:pPr>
      <w:r w:rsidRPr="009D5EC6">
        <w:rPr>
          <w:rFonts w:ascii="Arial Mäori" w:hAnsi="Arial Mäori"/>
          <w:b/>
          <w:color w:val="1F3864" w:themeColor="accent5" w:themeShade="80"/>
          <w:sz w:val="24"/>
          <w:szCs w:val="24"/>
        </w:rPr>
        <w:t>A “Pathways” Approach.</w:t>
      </w:r>
      <w:r w:rsidRPr="009D5EC6">
        <w:rPr>
          <w:rFonts w:ascii="Arial Mäori" w:hAnsi="Arial Mäori"/>
          <w:color w:val="1F3864" w:themeColor="accent5" w:themeShade="80"/>
        </w:rPr>
        <w:t xml:space="preserve"> </w:t>
      </w:r>
      <w:r w:rsidR="00436310" w:rsidRPr="009D5EC6">
        <w:rPr>
          <w:rFonts w:ascii="Arial Mäori" w:hAnsi="Arial Mäori"/>
        </w:rPr>
        <w:t>Upon enrolment and through ini</w:t>
      </w:r>
      <w:r w:rsidR="00003EAF" w:rsidRPr="009D5EC6">
        <w:rPr>
          <w:rFonts w:ascii="Arial Mäori" w:hAnsi="Arial Mäori"/>
        </w:rPr>
        <w:t>tial planning a pathway is determined based on a combination of the outcomes being sought and how customised the service response will need to be:</w:t>
      </w:r>
    </w:p>
    <w:p w:rsidR="00003EAF" w:rsidRPr="00166D17" w:rsidRDefault="00003EAF" w:rsidP="00166D17">
      <w:pPr>
        <w:pStyle w:val="ListParagraph"/>
        <w:numPr>
          <w:ilvl w:val="1"/>
          <w:numId w:val="37"/>
        </w:numPr>
        <w:rPr>
          <w:rFonts w:ascii="Arial Mäori" w:hAnsi="Arial Mäori"/>
        </w:rPr>
      </w:pPr>
      <w:r w:rsidRPr="00166D17">
        <w:rPr>
          <w:rFonts w:ascii="Arial Mäori" w:hAnsi="Arial Mäori"/>
          <w:b/>
          <w:sz w:val="24"/>
          <w:szCs w:val="24"/>
        </w:rPr>
        <w:t>Existing vacancy pathway</w:t>
      </w:r>
      <w:r w:rsidRPr="00166D17">
        <w:rPr>
          <w:rFonts w:ascii="Arial Mäori" w:hAnsi="Arial Mäori"/>
        </w:rPr>
        <w:t xml:space="preserve"> where the person is being supported to fill an existing vacancy with minimal changes to the role and tasks as outlined by the employer/in the job description</w:t>
      </w:r>
    </w:p>
    <w:p w:rsidR="00003EAF" w:rsidRDefault="00003EAF" w:rsidP="00166D17">
      <w:pPr>
        <w:pStyle w:val="ListParagraph"/>
        <w:numPr>
          <w:ilvl w:val="1"/>
          <w:numId w:val="37"/>
        </w:numPr>
        <w:rPr>
          <w:rFonts w:ascii="Arial Mäori" w:hAnsi="Arial Mäori"/>
        </w:rPr>
      </w:pPr>
      <w:r w:rsidRPr="005D11CF">
        <w:rPr>
          <w:rFonts w:ascii="Arial Mäori" w:hAnsi="Arial Mäori"/>
          <w:b/>
          <w:sz w:val="24"/>
          <w:szCs w:val="24"/>
        </w:rPr>
        <w:t>Partially customised pathway</w:t>
      </w:r>
      <w:r>
        <w:rPr>
          <w:rFonts w:ascii="Arial Mäori" w:hAnsi="Arial Mäori"/>
        </w:rPr>
        <w:t xml:space="preserve"> where moderate levels of adaptation to the role and key tasks are negotiated.</w:t>
      </w:r>
    </w:p>
    <w:p w:rsidR="00003EAF" w:rsidRPr="00166D17" w:rsidRDefault="00003EAF" w:rsidP="00166D17">
      <w:pPr>
        <w:pStyle w:val="ListParagraph"/>
        <w:numPr>
          <w:ilvl w:val="1"/>
          <w:numId w:val="37"/>
        </w:numPr>
        <w:rPr>
          <w:rFonts w:ascii="Arial Mäori" w:hAnsi="Arial Mäori"/>
        </w:rPr>
      </w:pPr>
      <w:r w:rsidRPr="00166D17">
        <w:rPr>
          <w:rFonts w:ascii="Arial Mäori" w:hAnsi="Arial Mäori"/>
          <w:b/>
          <w:sz w:val="24"/>
          <w:szCs w:val="24"/>
        </w:rPr>
        <w:t>Fully customised pathway</w:t>
      </w:r>
      <w:r w:rsidRPr="00166D17">
        <w:rPr>
          <w:rFonts w:ascii="Arial Mäori" w:hAnsi="Arial Mäori"/>
        </w:rPr>
        <w:t xml:space="preserve"> where extensive job carving and adaptation create a new role that is negotiated</w:t>
      </w:r>
      <w:r w:rsidR="007551DE" w:rsidRPr="00166D17">
        <w:rPr>
          <w:rFonts w:ascii="Arial Mäori" w:hAnsi="Arial Mäori"/>
        </w:rPr>
        <w:t>. This pathway also includes self-employment/micro-enterprise development.</w:t>
      </w:r>
    </w:p>
    <w:p w:rsidR="0043243C" w:rsidRDefault="00003EAF" w:rsidP="00956A02">
      <w:pPr>
        <w:pStyle w:val="ListParagraph"/>
        <w:numPr>
          <w:ilvl w:val="1"/>
          <w:numId w:val="37"/>
        </w:numPr>
        <w:rPr>
          <w:rFonts w:ascii="Arial Mäori" w:hAnsi="Arial Mäori"/>
        </w:rPr>
      </w:pPr>
      <w:r w:rsidRPr="00166D17">
        <w:rPr>
          <w:rFonts w:ascii="Arial Mäori" w:hAnsi="Arial Mäori"/>
          <w:b/>
          <w:sz w:val="24"/>
          <w:szCs w:val="24"/>
        </w:rPr>
        <w:t>Training pathway</w:t>
      </w:r>
      <w:r w:rsidRPr="00166D17">
        <w:rPr>
          <w:rFonts w:ascii="Arial Mäori" w:hAnsi="Arial Mäori"/>
        </w:rPr>
        <w:t xml:space="preserve"> that is designed either with an individual in their last 2 years at school or post school</w:t>
      </w:r>
      <w:r w:rsidR="00956A02" w:rsidRPr="00166D17">
        <w:rPr>
          <w:rFonts w:ascii="Arial Mäori" w:hAnsi="Arial Mäori"/>
        </w:rPr>
        <w:t>.</w:t>
      </w:r>
    </w:p>
    <w:p w:rsidR="00956A02" w:rsidRPr="0043243C" w:rsidRDefault="00956A02" w:rsidP="0043243C">
      <w:pPr>
        <w:rPr>
          <w:rFonts w:ascii="Arial Mäori" w:hAnsi="Arial Mäori"/>
        </w:rPr>
      </w:pPr>
      <w:r w:rsidRPr="0043243C">
        <w:rPr>
          <w:rFonts w:ascii="Arial Mäori" w:hAnsi="Arial Mäori"/>
          <w:b/>
        </w:rPr>
        <w:t>Key activities</w:t>
      </w:r>
      <w:r w:rsidRPr="0043243C">
        <w:rPr>
          <w:rFonts w:ascii="Arial Mäori" w:hAnsi="Arial Mäori"/>
        </w:rPr>
        <w:t xml:space="preserve"> in each pathway are outlined to provide guidance on how to match individuals with the appropriate pathway</w:t>
      </w:r>
      <w:r w:rsidR="00855E8F" w:rsidRPr="0043243C">
        <w:rPr>
          <w:rFonts w:ascii="Arial Mäori" w:hAnsi="Arial Mäori"/>
        </w:rPr>
        <w:t xml:space="preserve">. Note that the term </w:t>
      </w:r>
      <w:r w:rsidR="00855E8F" w:rsidRPr="0043243C">
        <w:rPr>
          <w:rFonts w:ascii="Arial Mäori" w:hAnsi="Arial Mäori"/>
          <w:b/>
        </w:rPr>
        <w:t>“pastoral support”</w:t>
      </w:r>
      <w:r w:rsidR="00855E8F" w:rsidRPr="0043243C">
        <w:rPr>
          <w:rFonts w:ascii="Arial Mäori" w:hAnsi="Arial Mäori"/>
        </w:rPr>
        <w:t xml:space="preserve"> is used to describe a </w:t>
      </w:r>
      <w:r w:rsidR="00855E8F" w:rsidRPr="0043243C">
        <w:rPr>
          <w:rFonts w:ascii="Arial Mäori" w:hAnsi="Arial Mäori"/>
        </w:rPr>
        <w:lastRenderedPageBreak/>
        <w:t>broad range of coaching, mentoring and counselling activity provided to people with significant mental health conditions who have chosen not to disclose their use of an employment support service and/or their mental health status.</w:t>
      </w:r>
    </w:p>
    <w:p w:rsidR="00C70CD0" w:rsidRPr="00245A22" w:rsidRDefault="00956A02" w:rsidP="00245A22">
      <w:pPr>
        <w:pStyle w:val="ListParagraph"/>
        <w:numPr>
          <w:ilvl w:val="0"/>
          <w:numId w:val="40"/>
        </w:numPr>
        <w:rPr>
          <w:rFonts w:ascii="Arial Mäori" w:hAnsi="Arial Mäori"/>
        </w:rPr>
      </w:pPr>
      <w:r w:rsidRPr="00CB350E">
        <w:rPr>
          <w:rFonts w:ascii="Arial Mäori" w:hAnsi="Arial Mäori"/>
          <w:b/>
          <w:color w:val="1F3864" w:themeColor="accent5" w:themeShade="80"/>
          <w:sz w:val="24"/>
          <w:szCs w:val="24"/>
        </w:rPr>
        <w:t>Enrolment and some initial planning has been combined into a single outcome</w:t>
      </w:r>
      <w:r w:rsidRPr="00CB350E">
        <w:rPr>
          <w:rFonts w:ascii="Arial Mäori" w:hAnsi="Arial Mäori"/>
          <w:color w:val="1F3864" w:themeColor="accent5" w:themeShade="80"/>
        </w:rPr>
        <w:t xml:space="preserve"> </w:t>
      </w:r>
      <w:r w:rsidRPr="00245A22">
        <w:rPr>
          <w:rFonts w:ascii="Arial Mäori" w:hAnsi="Arial Mäori"/>
        </w:rPr>
        <w:t>to increase the likelihood that people will be positively engaged and so that income cannot be generated just from enrolment</w:t>
      </w:r>
      <w:r w:rsidR="00D64F1A">
        <w:rPr>
          <w:rFonts w:ascii="Arial Mäori" w:hAnsi="Arial Mäori"/>
        </w:rPr>
        <w:t>.</w:t>
      </w:r>
    </w:p>
    <w:p w:rsidR="00963517" w:rsidRPr="00245A22" w:rsidRDefault="00963517" w:rsidP="00245A22">
      <w:pPr>
        <w:pStyle w:val="ListParagraph"/>
        <w:numPr>
          <w:ilvl w:val="0"/>
          <w:numId w:val="40"/>
        </w:numPr>
        <w:rPr>
          <w:rFonts w:ascii="Arial Mäori" w:hAnsi="Arial Mäori"/>
        </w:rPr>
      </w:pPr>
      <w:r w:rsidRPr="00CB350E">
        <w:rPr>
          <w:rFonts w:ascii="Arial Mäori" w:hAnsi="Arial Mäori"/>
          <w:b/>
          <w:color w:val="1F3864" w:themeColor="accent5" w:themeShade="80"/>
          <w:sz w:val="24"/>
          <w:szCs w:val="24"/>
        </w:rPr>
        <w:t>Pre-employment activity and placement has been combined</w:t>
      </w:r>
      <w:r w:rsidRPr="00CB350E">
        <w:rPr>
          <w:rFonts w:ascii="Arial Mäori" w:hAnsi="Arial Mäori"/>
          <w:b/>
          <w:color w:val="1F3864" w:themeColor="accent5" w:themeShade="80"/>
        </w:rPr>
        <w:t xml:space="preserve"> and replaced with a single outcome payment called “Job Development and Employment (placement).”</w:t>
      </w:r>
      <w:r w:rsidRPr="00CB350E">
        <w:rPr>
          <w:rFonts w:ascii="Arial Mäori" w:hAnsi="Arial Mäori"/>
          <w:color w:val="1F3864" w:themeColor="accent5" w:themeShade="80"/>
        </w:rPr>
        <w:t xml:space="preserve"> </w:t>
      </w:r>
      <w:r w:rsidRPr="00245A22">
        <w:rPr>
          <w:rFonts w:ascii="Arial Mäori" w:hAnsi="Arial Mäori"/>
        </w:rPr>
        <w:t xml:space="preserve">This has been done to </w:t>
      </w:r>
      <w:r w:rsidR="00855E8F" w:rsidRPr="00245A22">
        <w:rPr>
          <w:rFonts w:ascii="Arial Mäori" w:hAnsi="Arial Mäori"/>
        </w:rPr>
        <w:t>ensure that job development act</w:t>
      </w:r>
      <w:r w:rsidR="00410E9E" w:rsidRPr="00245A22">
        <w:rPr>
          <w:rFonts w:ascii="Arial Mäori" w:hAnsi="Arial Mäori"/>
        </w:rPr>
        <w:t>ivity is genuinely focused on sustainable</w:t>
      </w:r>
      <w:r w:rsidR="00855E8F" w:rsidRPr="00245A22">
        <w:rPr>
          <w:rFonts w:ascii="Arial Mäori" w:hAnsi="Arial Mäori"/>
        </w:rPr>
        <w:t xml:space="preserve"> employment outcome</w:t>
      </w:r>
      <w:r w:rsidR="00410E9E" w:rsidRPr="00245A22">
        <w:rPr>
          <w:rFonts w:ascii="Arial Mäori" w:hAnsi="Arial Mäori"/>
        </w:rPr>
        <w:t>s.</w:t>
      </w:r>
    </w:p>
    <w:p w:rsidR="00855E8F" w:rsidRDefault="00855E8F" w:rsidP="00245A22">
      <w:pPr>
        <w:pStyle w:val="ListParagraph"/>
        <w:numPr>
          <w:ilvl w:val="0"/>
          <w:numId w:val="40"/>
        </w:numPr>
        <w:rPr>
          <w:rFonts w:ascii="Arial Mäori" w:hAnsi="Arial Mäori"/>
        </w:rPr>
      </w:pPr>
      <w:r w:rsidRPr="00B13070">
        <w:rPr>
          <w:rFonts w:ascii="Arial Mäori" w:hAnsi="Arial Mäori"/>
          <w:b/>
          <w:color w:val="1F3864" w:themeColor="accent5" w:themeShade="80"/>
          <w:sz w:val="24"/>
          <w:szCs w:val="24"/>
        </w:rPr>
        <w:t>Removed the link between payment levels and hours of employment</w:t>
      </w:r>
      <w:r w:rsidRPr="005D11CF">
        <w:rPr>
          <w:rFonts w:ascii="Arial Mäori" w:hAnsi="Arial Mäori"/>
          <w:b/>
          <w:sz w:val="24"/>
          <w:szCs w:val="24"/>
        </w:rPr>
        <w:t>.</w:t>
      </w:r>
      <w:r>
        <w:rPr>
          <w:rFonts w:ascii="Arial Mäori" w:hAnsi="Arial Mäori"/>
        </w:rPr>
        <w:t xml:space="preserve"> If the focus is on outcome</w:t>
      </w:r>
      <w:r w:rsidR="00BC46BB">
        <w:rPr>
          <w:rFonts w:ascii="Arial Mäori" w:hAnsi="Arial Mäori"/>
        </w:rPr>
        <w:t>s</w:t>
      </w:r>
      <w:r w:rsidR="00566C36">
        <w:rPr>
          <w:rFonts w:ascii="Arial Mäori" w:hAnsi="Arial Mäori"/>
        </w:rPr>
        <w:t xml:space="preserve">, </w:t>
      </w:r>
      <w:r>
        <w:rPr>
          <w:rFonts w:ascii="Arial Mäori" w:hAnsi="Arial Mäori"/>
        </w:rPr>
        <w:t xml:space="preserve">then the hours employed are not necessarily relevant. A 5 hour per week job </w:t>
      </w:r>
      <w:r w:rsidR="00687F6C">
        <w:rPr>
          <w:rFonts w:ascii="Arial Mäori" w:hAnsi="Arial Mäori"/>
        </w:rPr>
        <w:t xml:space="preserve">that </w:t>
      </w:r>
      <w:r>
        <w:rPr>
          <w:rFonts w:ascii="Arial Mäori" w:hAnsi="Arial Mäori"/>
        </w:rPr>
        <w:t xml:space="preserve">is fully customised </w:t>
      </w:r>
      <w:r w:rsidR="00687F6C">
        <w:rPr>
          <w:rFonts w:ascii="Arial Mäori" w:hAnsi="Arial Mäori"/>
        </w:rPr>
        <w:t>can be just as life changing as a 30 hr per week job secured through the existing vacancy pathway. A person centred approach assumes the employment consultant will respond if the person</w:t>
      </w:r>
      <w:r w:rsidR="00BC46BB">
        <w:rPr>
          <w:rFonts w:ascii="Arial Mäori" w:hAnsi="Arial Mäori"/>
        </w:rPr>
        <w:t>’</w:t>
      </w:r>
      <w:r w:rsidR="00687F6C">
        <w:rPr>
          <w:rFonts w:ascii="Arial Mäori" w:hAnsi="Arial Mäori"/>
        </w:rPr>
        <w:t>s aspirations are increased hours of work.</w:t>
      </w:r>
    </w:p>
    <w:p w:rsidR="00BC46BB" w:rsidRPr="00D64F1A" w:rsidRDefault="00687F6C" w:rsidP="00D64F1A">
      <w:pPr>
        <w:pStyle w:val="ListParagraph"/>
        <w:numPr>
          <w:ilvl w:val="0"/>
          <w:numId w:val="40"/>
        </w:numPr>
        <w:rPr>
          <w:rFonts w:ascii="Arial Mäori" w:hAnsi="Arial Mäori"/>
        </w:rPr>
      </w:pPr>
      <w:r w:rsidRPr="00CB350E">
        <w:rPr>
          <w:rFonts w:ascii="Arial Mäori" w:hAnsi="Arial Mäori"/>
          <w:b/>
          <w:color w:val="1F3864" w:themeColor="accent5" w:themeShade="80"/>
          <w:sz w:val="24"/>
          <w:szCs w:val="24"/>
        </w:rPr>
        <w:t>Reduced payment for those on wage subsidies has been removed</w:t>
      </w:r>
      <w:r w:rsidRPr="005D11CF">
        <w:rPr>
          <w:rFonts w:ascii="Arial Mäori" w:hAnsi="Arial Mäori"/>
          <w:b/>
          <w:sz w:val="24"/>
          <w:szCs w:val="24"/>
        </w:rPr>
        <w:t>.</w:t>
      </w:r>
      <w:r>
        <w:rPr>
          <w:rFonts w:ascii="Arial Mäori" w:hAnsi="Arial Mäori"/>
        </w:rPr>
        <w:t xml:space="preserve"> In anticipation of a labour market where unemployment is high we can assume extensive use of subsidised jobs through various schemes. We should still emphasise good practice that minimises the use of wage</w:t>
      </w:r>
      <w:r w:rsidR="00024F00">
        <w:rPr>
          <w:rFonts w:ascii="Arial Mäori" w:hAnsi="Arial Mäori"/>
        </w:rPr>
        <w:t xml:space="preserve"> subsidies and limits them to a </w:t>
      </w:r>
      <w:r>
        <w:rPr>
          <w:rFonts w:ascii="Arial Mäori" w:hAnsi="Arial Mäori"/>
        </w:rPr>
        <w:t>one-off maximum of 3 months in duration</w:t>
      </w:r>
      <w:r w:rsidR="00BC46BB">
        <w:rPr>
          <w:rFonts w:ascii="Arial Mäori" w:hAnsi="Arial Mäori"/>
        </w:rPr>
        <w:t>, but acknowledges the specific role they can play in securing a long term employment outcome.</w:t>
      </w:r>
      <w:r>
        <w:rPr>
          <w:rFonts w:ascii="Arial Mäori" w:hAnsi="Arial Mäori"/>
        </w:rPr>
        <w:t xml:space="preserve"> Practices should be monitored through audit be exception for example where there is a high proportion of use with few employment outcomes beyond 3 or 6 months.</w:t>
      </w:r>
      <w:r w:rsidR="00D64F1A">
        <w:rPr>
          <w:rFonts w:ascii="Arial Mäori" w:hAnsi="Arial Mäori"/>
        </w:rPr>
        <w:t xml:space="preserve"> </w:t>
      </w:r>
      <w:r w:rsidR="00BC46BB" w:rsidRPr="00D64F1A">
        <w:rPr>
          <w:rFonts w:ascii="Arial Mäori" w:hAnsi="Arial Mäori"/>
          <w:b/>
        </w:rPr>
        <w:t>The productivity allowance should be abandoned</w:t>
      </w:r>
      <w:r w:rsidR="00BC46BB" w:rsidRPr="00D64F1A">
        <w:rPr>
          <w:rFonts w:ascii="Arial Mäori" w:hAnsi="Arial Mäori"/>
        </w:rPr>
        <w:t xml:space="preserve"> as a “minimum wage exemption in disguise.”</w:t>
      </w:r>
    </w:p>
    <w:p w:rsidR="00A04FE2" w:rsidRPr="00FA60E4" w:rsidRDefault="00A04FE2" w:rsidP="00FA60E4">
      <w:pPr>
        <w:pStyle w:val="ListParagraph"/>
        <w:numPr>
          <w:ilvl w:val="0"/>
          <w:numId w:val="40"/>
        </w:numPr>
        <w:rPr>
          <w:rFonts w:ascii="Arial Mäori" w:hAnsi="Arial Mäori"/>
        </w:rPr>
      </w:pPr>
      <w:r w:rsidRPr="00CB350E">
        <w:rPr>
          <w:rFonts w:ascii="Arial Mäori" w:hAnsi="Arial Mäori"/>
          <w:b/>
          <w:color w:val="1F3864" w:themeColor="accent5" w:themeShade="80"/>
          <w:sz w:val="24"/>
          <w:szCs w:val="24"/>
        </w:rPr>
        <w:t>A training pathway has been added and then split into two variations</w:t>
      </w:r>
      <w:r w:rsidRPr="00CB350E">
        <w:rPr>
          <w:rFonts w:ascii="Arial Mäori" w:hAnsi="Arial Mäori"/>
          <w:color w:val="1F3864" w:themeColor="accent5" w:themeShade="80"/>
        </w:rPr>
        <w:t xml:space="preserve"> </w:t>
      </w:r>
      <w:r>
        <w:rPr>
          <w:rFonts w:ascii="Arial Mäori" w:hAnsi="Arial Mäori"/>
        </w:rPr>
        <w:t xml:space="preserve">based on the recent decision that allows providers to work with students for up to two years before leaving school. The </w:t>
      </w:r>
      <w:r w:rsidRPr="00410E9E">
        <w:rPr>
          <w:rFonts w:ascii="Arial Mäori" w:hAnsi="Arial Mäori"/>
          <w:b/>
        </w:rPr>
        <w:t xml:space="preserve">post school training pathway </w:t>
      </w:r>
      <w:r>
        <w:rPr>
          <w:rFonts w:ascii="Arial Mäori" w:hAnsi="Arial Mäori"/>
        </w:rPr>
        <w:t xml:space="preserve">is designed to link people with very specific course/programmes linked to the actual employment outcome being sought. </w:t>
      </w:r>
      <w:r w:rsidR="00410E9E">
        <w:rPr>
          <w:rFonts w:ascii="Arial Mäori" w:hAnsi="Arial Mäori"/>
        </w:rPr>
        <w:t xml:space="preserve">The link must be real – we do not want to incentivise a “training treadmill.” </w:t>
      </w:r>
      <w:r>
        <w:rPr>
          <w:rFonts w:ascii="Arial Mäori" w:hAnsi="Arial Mäori"/>
        </w:rPr>
        <w:t xml:space="preserve">The </w:t>
      </w:r>
      <w:r w:rsidRPr="00410E9E">
        <w:rPr>
          <w:rFonts w:ascii="Arial Mäori" w:hAnsi="Arial Mäori"/>
          <w:b/>
        </w:rPr>
        <w:t>prior to leaving school training pathway</w:t>
      </w:r>
      <w:r>
        <w:rPr>
          <w:rFonts w:ascii="Arial Mäori" w:hAnsi="Arial Mäori"/>
        </w:rPr>
        <w:t xml:space="preserve"> enables a focus on job exploration, work experience, internships and comprehensive transition from school to work planning. </w:t>
      </w:r>
      <w:r w:rsidRPr="00566C36">
        <w:rPr>
          <w:rFonts w:ascii="Arial Mäori" w:hAnsi="Arial Mäori"/>
          <w:b/>
        </w:rPr>
        <w:t xml:space="preserve">This pathway </w:t>
      </w:r>
      <w:r w:rsidRPr="00566C36">
        <w:rPr>
          <w:rFonts w:ascii="Arial Mäori" w:hAnsi="Arial Mäori"/>
          <w:b/>
        </w:rPr>
        <w:lastRenderedPageBreak/>
        <w:t>represents additional ho</w:t>
      </w:r>
      <w:r w:rsidR="00566C36" w:rsidRPr="00566C36">
        <w:rPr>
          <w:rFonts w:ascii="Arial Mäori" w:hAnsi="Arial Mäori"/>
          <w:b/>
        </w:rPr>
        <w:t>urs that have been added.</w:t>
      </w:r>
      <w:r w:rsidR="00410E9E">
        <w:rPr>
          <w:rFonts w:ascii="Arial Mäori" w:hAnsi="Arial Mäori"/>
          <w:b/>
        </w:rPr>
        <w:t xml:space="preserve"> </w:t>
      </w:r>
      <w:r w:rsidR="00410E9E" w:rsidRPr="00410E9E">
        <w:rPr>
          <w:rFonts w:ascii="Arial Mäori" w:hAnsi="Arial Mäori"/>
        </w:rPr>
        <w:t>The allocation of hours</w:t>
      </w:r>
      <w:r w:rsidR="00410E9E">
        <w:rPr>
          <w:rFonts w:ascii="Arial Mäori" w:hAnsi="Arial Mäori"/>
          <w:b/>
        </w:rPr>
        <w:t xml:space="preserve"> </w:t>
      </w:r>
      <w:r w:rsidR="00410E9E" w:rsidRPr="00410E9E">
        <w:rPr>
          <w:rFonts w:ascii="Arial Mäori" w:hAnsi="Arial Mäori"/>
        </w:rPr>
        <w:t>assumes these activities are a shared endeavour with schools</w:t>
      </w:r>
      <w:r w:rsidR="00410E9E">
        <w:rPr>
          <w:rFonts w:ascii="Arial Mäori" w:hAnsi="Arial Mäori"/>
        </w:rPr>
        <w:t>.</w:t>
      </w:r>
      <w:r w:rsidR="00166D17">
        <w:rPr>
          <w:rFonts w:ascii="Arial Mäori" w:hAnsi="Arial Mäori"/>
        </w:rPr>
        <w:t xml:space="preserve"> </w:t>
      </w:r>
      <w:r w:rsidRPr="00FA60E4">
        <w:rPr>
          <w:rFonts w:ascii="Arial Mäori" w:hAnsi="Arial Mäori"/>
        </w:rPr>
        <w:t>If the effort becomes a focus on a specific employment outcome as part of leaving school</w:t>
      </w:r>
      <w:r w:rsidR="00566C36" w:rsidRPr="00FA60E4">
        <w:rPr>
          <w:rFonts w:ascii="Arial Mäori" w:hAnsi="Arial Mäori"/>
        </w:rPr>
        <w:t>,</w:t>
      </w:r>
      <w:r w:rsidRPr="00FA60E4">
        <w:rPr>
          <w:rFonts w:ascii="Arial Mäori" w:hAnsi="Arial Mäori"/>
        </w:rPr>
        <w:t xml:space="preserve"> the person should transition to one of the three employment pathways.</w:t>
      </w:r>
    </w:p>
    <w:p w:rsidR="00566C36" w:rsidRDefault="00B13070" w:rsidP="00245A22">
      <w:pPr>
        <w:pStyle w:val="ListParagraph"/>
        <w:numPr>
          <w:ilvl w:val="0"/>
          <w:numId w:val="40"/>
        </w:numPr>
        <w:rPr>
          <w:rFonts w:ascii="Arial Mäori" w:hAnsi="Arial Mäori"/>
        </w:rPr>
      </w:pPr>
      <w:r>
        <w:rPr>
          <w:rFonts w:ascii="Arial Mäori" w:hAnsi="Arial Mäori"/>
          <w:b/>
          <w:color w:val="1F3864" w:themeColor="accent5" w:themeShade="80"/>
          <w:sz w:val="24"/>
          <w:szCs w:val="24"/>
        </w:rPr>
        <w:t>The post 12 months in work</w:t>
      </w:r>
      <w:r w:rsidR="00566C36" w:rsidRPr="00CB350E">
        <w:rPr>
          <w:rFonts w:ascii="Arial Mäori" w:hAnsi="Arial Mäori"/>
          <w:b/>
          <w:color w:val="1F3864" w:themeColor="accent5" w:themeShade="80"/>
          <w:sz w:val="24"/>
          <w:szCs w:val="24"/>
        </w:rPr>
        <w:t xml:space="preserve"> support and ad hoc support components have been rolled into a single payment</w:t>
      </w:r>
      <w:r w:rsidR="00566C36" w:rsidRPr="00CB350E">
        <w:rPr>
          <w:rFonts w:ascii="Arial Mäori" w:hAnsi="Arial Mäori"/>
          <w:color w:val="1F3864" w:themeColor="accent5" w:themeShade="80"/>
        </w:rPr>
        <w:t xml:space="preserve"> </w:t>
      </w:r>
      <w:r w:rsidR="00566C36">
        <w:rPr>
          <w:rFonts w:ascii="Arial Mäori" w:hAnsi="Arial Mäori"/>
        </w:rPr>
        <w:t>within each of t</w:t>
      </w:r>
      <w:r w:rsidR="00AE0EA5">
        <w:rPr>
          <w:rFonts w:ascii="Arial Mäori" w:hAnsi="Arial Mäori"/>
        </w:rPr>
        <w:t>he proposed employment pathways: ongoing/ad hoc support</w:t>
      </w:r>
    </w:p>
    <w:p w:rsidR="007551DE" w:rsidRDefault="007551DE" w:rsidP="00245A22">
      <w:pPr>
        <w:pStyle w:val="ListParagraph"/>
        <w:numPr>
          <w:ilvl w:val="0"/>
          <w:numId w:val="40"/>
        </w:numPr>
        <w:rPr>
          <w:rFonts w:ascii="Arial Mäori" w:hAnsi="Arial Mäori"/>
        </w:rPr>
      </w:pPr>
      <w:r w:rsidRPr="00CB350E">
        <w:rPr>
          <w:rFonts w:ascii="Arial Mäori" w:hAnsi="Arial Mäori"/>
          <w:b/>
          <w:color w:val="002060"/>
          <w:sz w:val="24"/>
          <w:szCs w:val="24"/>
        </w:rPr>
        <w:t>Adding self-employment and/or Micro enterprise development to</w:t>
      </w:r>
      <w:r w:rsidR="00AE0EA5">
        <w:rPr>
          <w:rFonts w:ascii="Arial Mäori" w:hAnsi="Arial Mäori"/>
          <w:b/>
          <w:color w:val="002060"/>
          <w:sz w:val="24"/>
          <w:szCs w:val="24"/>
        </w:rPr>
        <w:t xml:space="preserve"> the</w:t>
      </w:r>
      <w:r w:rsidRPr="00CB350E">
        <w:rPr>
          <w:rFonts w:ascii="Arial Mäori" w:hAnsi="Arial Mäori"/>
          <w:b/>
          <w:color w:val="002060"/>
          <w:sz w:val="24"/>
          <w:szCs w:val="24"/>
        </w:rPr>
        <w:t xml:space="preserve"> fully customised employment pathway. </w:t>
      </w:r>
      <w:r>
        <w:rPr>
          <w:rFonts w:ascii="Arial Mäori" w:hAnsi="Arial Mäori"/>
          <w:sz w:val="24"/>
          <w:szCs w:val="24"/>
        </w:rPr>
        <w:t>Key activity descriptors for this pathway need further specifying.</w:t>
      </w:r>
      <w:r w:rsidR="00CB350E">
        <w:rPr>
          <w:rFonts w:ascii="Arial Mäori" w:hAnsi="Arial Mäori"/>
          <w:sz w:val="24"/>
          <w:szCs w:val="24"/>
        </w:rPr>
        <w:t xml:space="preserve"> Self-employment needs to be a formally recognised approach to achieving sustainable employment outcomes.</w:t>
      </w:r>
    </w:p>
    <w:p w:rsidR="00FD6346" w:rsidRDefault="00FD6346" w:rsidP="00245A22">
      <w:pPr>
        <w:pStyle w:val="ListParagraph"/>
        <w:numPr>
          <w:ilvl w:val="0"/>
          <w:numId w:val="40"/>
        </w:numPr>
        <w:rPr>
          <w:rFonts w:ascii="Arial Mäori" w:hAnsi="Arial Mäori"/>
        </w:rPr>
      </w:pPr>
      <w:r w:rsidRPr="00CB350E">
        <w:rPr>
          <w:rFonts w:ascii="Arial Mäori" w:hAnsi="Arial Mäori"/>
          <w:b/>
          <w:color w:val="1F3864" w:themeColor="accent5" w:themeShade="80"/>
          <w:sz w:val="24"/>
          <w:szCs w:val="24"/>
        </w:rPr>
        <w:t>Employer/Stakeholder engagement and development has been introduced</w:t>
      </w:r>
      <w:r w:rsidR="005D11CF" w:rsidRPr="00CB350E">
        <w:rPr>
          <w:rFonts w:ascii="Arial Mäori" w:hAnsi="Arial Mäori"/>
          <w:b/>
          <w:color w:val="1F3864" w:themeColor="accent5" w:themeShade="80"/>
        </w:rPr>
        <w:t xml:space="preserve"> to better reflect</w:t>
      </w:r>
      <w:r w:rsidRPr="00CB350E">
        <w:rPr>
          <w:rFonts w:ascii="Arial Mäori" w:hAnsi="Arial Mäori"/>
          <w:b/>
          <w:color w:val="1F3864" w:themeColor="accent5" w:themeShade="80"/>
        </w:rPr>
        <w:t xml:space="preserve"> practice guidelines</w:t>
      </w:r>
      <w:r w:rsidR="005D11CF" w:rsidRPr="00CB350E">
        <w:rPr>
          <w:rFonts w:ascii="Arial Mäori" w:hAnsi="Arial Mäori"/>
          <w:b/>
          <w:color w:val="1F3864" w:themeColor="accent5" w:themeShade="80"/>
        </w:rPr>
        <w:t xml:space="preserve"> 7 and 8</w:t>
      </w:r>
      <w:r w:rsidRPr="00CB350E">
        <w:rPr>
          <w:rFonts w:ascii="Arial Mäori" w:hAnsi="Arial Mäori"/>
          <w:color w:val="1F3864" w:themeColor="accent5" w:themeShade="80"/>
        </w:rPr>
        <w:t xml:space="preserve">. </w:t>
      </w:r>
      <w:r w:rsidRPr="00CB350E">
        <w:rPr>
          <w:rFonts w:ascii="Arial Mäori" w:hAnsi="Arial Mäori"/>
          <w:b/>
          <w:color w:val="1F3864" w:themeColor="accent5" w:themeShade="80"/>
        </w:rPr>
        <w:t>They are additional hours</w:t>
      </w:r>
      <w:r w:rsidRPr="00CB350E">
        <w:rPr>
          <w:rFonts w:ascii="Arial Mäori" w:hAnsi="Arial Mäori"/>
          <w:color w:val="1F3864" w:themeColor="accent5" w:themeShade="80"/>
        </w:rPr>
        <w:t xml:space="preserve"> </w:t>
      </w:r>
      <w:r>
        <w:rPr>
          <w:rFonts w:ascii="Arial Mäori" w:hAnsi="Arial Mäori"/>
        </w:rPr>
        <w:t>and could be regarded as something of an “innovations fund” to reflect the lack of and variable activity in this space at present. There are some caveats to note</w:t>
      </w:r>
      <w:r w:rsidR="005D11CF">
        <w:rPr>
          <w:rFonts w:ascii="Arial Mäori" w:hAnsi="Arial Mäori"/>
        </w:rPr>
        <w:t>:</w:t>
      </w:r>
    </w:p>
    <w:p w:rsidR="00FD6346" w:rsidRDefault="00FD6346" w:rsidP="00FD6346">
      <w:pPr>
        <w:pStyle w:val="ListParagraph"/>
        <w:numPr>
          <w:ilvl w:val="0"/>
          <w:numId w:val="39"/>
        </w:numPr>
        <w:rPr>
          <w:rFonts w:ascii="Arial Mäori" w:hAnsi="Arial Mäori"/>
        </w:rPr>
      </w:pPr>
      <w:r>
        <w:rPr>
          <w:rFonts w:ascii="Arial Mäori" w:hAnsi="Arial Mäori"/>
        </w:rPr>
        <w:t>There will need to be a process that vets or accredits proposed programmes to ensure they meet appropriate standards and to ensure that there is</w:t>
      </w:r>
      <w:r w:rsidR="00024F00">
        <w:rPr>
          <w:rFonts w:ascii="Arial Mäori" w:hAnsi="Arial Mäori"/>
        </w:rPr>
        <w:t xml:space="preserve"> not</w:t>
      </w:r>
      <w:r>
        <w:rPr>
          <w:rFonts w:ascii="Arial Mäori" w:hAnsi="Arial Mäori"/>
        </w:rPr>
        <w:t xml:space="preserve"> </w:t>
      </w:r>
      <w:r w:rsidR="00024F00">
        <w:rPr>
          <w:rFonts w:ascii="Arial Mäori" w:hAnsi="Arial Mäori"/>
        </w:rPr>
        <w:t>too much</w:t>
      </w:r>
      <w:r>
        <w:rPr>
          <w:rFonts w:ascii="Arial Mäori" w:hAnsi="Arial Mäori"/>
        </w:rPr>
        <w:t xml:space="preserve"> duplicated effort in a particular area. Provision also needs to be made for specialist providers (employer led; family led initiatives</w:t>
      </w:r>
      <w:r w:rsidR="00024F00">
        <w:rPr>
          <w:rFonts w:ascii="Arial Mäori" w:hAnsi="Arial Mäori"/>
        </w:rPr>
        <w:t>;</w:t>
      </w:r>
      <w:r>
        <w:rPr>
          <w:rFonts w:ascii="Arial Mäori" w:hAnsi="Arial Mäori"/>
        </w:rPr>
        <w:t xml:space="preserve"> </w:t>
      </w:r>
      <w:r w:rsidR="00024F00">
        <w:rPr>
          <w:rFonts w:ascii="Arial Mäori" w:hAnsi="Arial Mäori"/>
        </w:rPr>
        <w:t xml:space="preserve">and collaborations </w:t>
      </w:r>
      <w:r>
        <w:rPr>
          <w:rFonts w:ascii="Arial Mäori" w:hAnsi="Arial Mäori"/>
        </w:rPr>
        <w:t>for example) to apply for just this service component.</w:t>
      </w:r>
    </w:p>
    <w:p w:rsidR="00FD6346" w:rsidRPr="00FD6346" w:rsidRDefault="00FD6346" w:rsidP="00FD6346">
      <w:pPr>
        <w:pStyle w:val="ListParagraph"/>
        <w:numPr>
          <w:ilvl w:val="0"/>
          <w:numId w:val="39"/>
        </w:numPr>
        <w:rPr>
          <w:rFonts w:ascii="Arial Mäori" w:hAnsi="Arial Mäori"/>
        </w:rPr>
      </w:pPr>
      <w:r>
        <w:rPr>
          <w:rFonts w:ascii="Arial Mäori" w:hAnsi="Arial Mäori"/>
        </w:rPr>
        <w:t>This is an opportunity to recognise collaborative effort across various stakeholder groups and regions</w:t>
      </w:r>
      <w:r w:rsidR="00024F00">
        <w:rPr>
          <w:rFonts w:ascii="Arial Mäori" w:hAnsi="Arial Mäori"/>
        </w:rPr>
        <w:t xml:space="preserve"> that</w:t>
      </w:r>
      <w:r w:rsidR="00FB2B9D">
        <w:rPr>
          <w:rFonts w:ascii="Arial Mäori" w:hAnsi="Arial Mäori"/>
        </w:rPr>
        <w:t xml:space="preserve"> can drive aspirations,</w:t>
      </w:r>
      <w:r w:rsidR="00024F00">
        <w:rPr>
          <w:rFonts w:ascii="Arial Mäori" w:hAnsi="Arial Mäori"/>
        </w:rPr>
        <w:t xml:space="preserve"> focus on enhancing quality</w:t>
      </w:r>
      <w:r w:rsidR="00FB2B9D">
        <w:rPr>
          <w:rFonts w:ascii="Arial Mäori" w:hAnsi="Arial Mäori"/>
        </w:rPr>
        <w:t xml:space="preserve"> </w:t>
      </w:r>
      <w:r w:rsidR="00FA60E4">
        <w:rPr>
          <w:rFonts w:ascii="Arial Mäori" w:hAnsi="Arial Mäori"/>
        </w:rPr>
        <w:t>and improved</w:t>
      </w:r>
      <w:r w:rsidR="00024F00">
        <w:rPr>
          <w:rFonts w:ascii="Arial Mäori" w:hAnsi="Arial Mäori"/>
        </w:rPr>
        <w:t xml:space="preserve"> employment outcomes</w:t>
      </w:r>
      <w:r>
        <w:rPr>
          <w:rFonts w:ascii="Arial Mäori" w:hAnsi="Arial Mäori"/>
        </w:rPr>
        <w:t>.</w:t>
      </w:r>
      <w:r w:rsidR="00427529">
        <w:rPr>
          <w:rFonts w:ascii="Arial Mäori" w:hAnsi="Arial Mäori"/>
        </w:rPr>
        <w:t xml:space="preserve"> </w:t>
      </w:r>
    </w:p>
    <w:p w:rsidR="00963517" w:rsidRPr="00CB350E" w:rsidRDefault="00FD6346" w:rsidP="00F33B8D">
      <w:pPr>
        <w:rPr>
          <w:rFonts w:ascii="Arial Mäori" w:hAnsi="Arial Mäori"/>
          <w:b/>
          <w:color w:val="385623" w:themeColor="accent6" w:themeShade="80"/>
          <w:sz w:val="28"/>
          <w:szCs w:val="28"/>
        </w:rPr>
      </w:pPr>
      <w:r w:rsidRPr="00CB350E">
        <w:rPr>
          <w:rFonts w:ascii="Arial Mäori" w:hAnsi="Arial Mäori"/>
          <w:b/>
          <w:color w:val="385623" w:themeColor="accent6" w:themeShade="80"/>
          <w:sz w:val="28"/>
          <w:szCs w:val="28"/>
        </w:rPr>
        <w:t>Other observations and issues to note:</w:t>
      </w:r>
    </w:p>
    <w:p w:rsidR="00FD6346" w:rsidRPr="00CB350E" w:rsidRDefault="003D140B" w:rsidP="00F33B8D">
      <w:pPr>
        <w:rPr>
          <w:rFonts w:ascii="Arial Mäori" w:hAnsi="Arial Mäori"/>
          <w:b/>
          <w:color w:val="002060"/>
          <w:sz w:val="24"/>
          <w:szCs w:val="24"/>
        </w:rPr>
      </w:pPr>
      <w:r w:rsidRPr="00CB350E">
        <w:rPr>
          <w:rFonts w:ascii="Arial Mäori" w:hAnsi="Arial Mäori"/>
          <w:b/>
          <w:color w:val="002060"/>
          <w:sz w:val="24"/>
          <w:szCs w:val="24"/>
        </w:rPr>
        <w:t>Determining eligibility</w:t>
      </w:r>
    </w:p>
    <w:p w:rsidR="001033AA" w:rsidRDefault="003D140B" w:rsidP="00F33B8D">
      <w:pPr>
        <w:rPr>
          <w:rFonts w:ascii="Arial Mäori" w:hAnsi="Arial Mäori"/>
        </w:rPr>
      </w:pPr>
      <w:r>
        <w:rPr>
          <w:rFonts w:ascii="Arial Mäori" w:hAnsi="Arial Mäori"/>
        </w:rPr>
        <w:t xml:space="preserve">At present MSD is reporting a 10% rate where the issue of eligibility is contested. Alternatively, for 90% of enrolments eligibility is not contested. There are differing views on the substance of the 10% that are contested: lack of training/awareness of MSD officials; providers pushing the envelope/not providing enough or the right kind of information. Frequently </w:t>
      </w:r>
      <w:r>
        <w:rPr>
          <w:rFonts w:ascii="Arial Mäori" w:hAnsi="Arial Mäori"/>
        </w:rPr>
        <w:lastRenderedPageBreak/>
        <w:t>the issue appears to be resolved by defaulting to a diagnostic description. We think the proposed pathways approach may solve some of these issues by having both parties relating to</w:t>
      </w:r>
      <w:r w:rsidR="004139B7">
        <w:rPr>
          <w:rFonts w:ascii="Arial Mäori" w:hAnsi="Arial Mäori"/>
        </w:rPr>
        <w:t xml:space="preserve"> the</w:t>
      </w:r>
      <w:r>
        <w:rPr>
          <w:rFonts w:ascii="Arial Mäori" w:hAnsi="Arial Mäori"/>
        </w:rPr>
        <w:t xml:space="preserve"> key activities</w:t>
      </w:r>
      <w:r w:rsidR="004139B7">
        <w:rPr>
          <w:rFonts w:ascii="Arial Mäori" w:hAnsi="Arial Mäori"/>
        </w:rPr>
        <w:t xml:space="preserve"> in each pathway</w:t>
      </w:r>
      <w:r w:rsidR="001033AA">
        <w:rPr>
          <w:rFonts w:ascii="Arial Mäori" w:hAnsi="Arial Mäori"/>
        </w:rPr>
        <w:t>. We also think that being on the SLP or being ORRS verified should be straight forward proxies for eligibility. In the end – is contesting the eligibility</w:t>
      </w:r>
      <w:r w:rsidR="004139B7">
        <w:rPr>
          <w:rFonts w:ascii="Arial Mäori" w:hAnsi="Arial Mäori"/>
        </w:rPr>
        <w:t xml:space="preserve"> for</w:t>
      </w:r>
      <w:r w:rsidR="001033AA">
        <w:rPr>
          <w:rFonts w:ascii="Arial Mäori" w:hAnsi="Arial Mäori"/>
        </w:rPr>
        <w:t xml:space="preserve"> 10% of enrolments a problem? If messaging is consistent the percentage should reduce over time.</w:t>
      </w:r>
      <w:r w:rsidR="00FA60E4">
        <w:rPr>
          <w:rFonts w:ascii="Arial Mäori" w:hAnsi="Arial Mäori"/>
        </w:rPr>
        <w:t xml:space="preserve"> It is important to note that “approval from Work and Income” is a barrier for some individuals who then choose not to engage.</w:t>
      </w:r>
    </w:p>
    <w:p w:rsidR="00C70CD0" w:rsidRPr="00CB350E" w:rsidRDefault="00C70CD0" w:rsidP="00F33B8D">
      <w:pPr>
        <w:rPr>
          <w:rFonts w:ascii="Arial Mäori" w:hAnsi="Arial Mäori"/>
          <w:b/>
          <w:color w:val="002060"/>
          <w:sz w:val="24"/>
          <w:szCs w:val="24"/>
        </w:rPr>
      </w:pPr>
      <w:r w:rsidRPr="00CB350E">
        <w:rPr>
          <w:rFonts w:ascii="Arial Mäori" w:hAnsi="Arial Mäori"/>
          <w:b/>
          <w:color w:val="002060"/>
          <w:sz w:val="24"/>
          <w:szCs w:val="24"/>
        </w:rPr>
        <w:t>Splitting milestone payments</w:t>
      </w:r>
    </w:p>
    <w:p w:rsidR="00FA60E4" w:rsidRPr="00557FA7" w:rsidRDefault="001033AA" w:rsidP="00F33B8D">
      <w:pPr>
        <w:rPr>
          <w:rFonts w:ascii="Arial Mäori" w:hAnsi="Arial Mäori"/>
        </w:rPr>
      </w:pPr>
      <w:r>
        <w:rPr>
          <w:rFonts w:ascii="Arial Mäori" w:hAnsi="Arial Mäori"/>
        </w:rPr>
        <w:t>There is a considerable amount of activity focused on collaborative effort across providers peppered with what is regarded by some as healthy competition. Whether by design or default there are specialities emerging across providers that are well-recognised by providers themselves as well as by clients and families. These specialities are based on expertise and experience with particular client groups as well as organisations that have become recognised specialists un particular com</w:t>
      </w:r>
      <w:r w:rsidR="000B6DBA">
        <w:rPr>
          <w:rFonts w:ascii="Arial Mäori" w:hAnsi="Arial Mäori"/>
        </w:rPr>
        <w:t xml:space="preserve">ponents of the service pathway </w:t>
      </w:r>
      <w:r>
        <w:rPr>
          <w:rFonts w:ascii="Arial Mäori" w:hAnsi="Arial Mäori"/>
        </w:rPr>
        <w:t>for examp</w:t>
      </w:r>
      <w:r w:rsidR="00056D6F">
        <w:rPr>
          <w:rFonts w:ascii="Arial Mäori" w:hAnsi="Arial Mäori"/>
        </w:rPr>
        <w:t>le planning, job development or</w:t>
      </w:r>
      <w:r>
        <w:rPr>
          <w:rFonts w:ascii="Arial Mäori" w:hAnsi="Arial Mäori"/>
        </w:rPr>
        <w:t xml:space="preserve"> employer engagement/negotiation.</w:t>
      </w:r>
      <w:r w:rsidR="000B6DBA">
        <w:rPr>
          <w:rFonts w:ascii="Arial Mäori" w:hAnsi="Arial Mäori"/>
        </w:rPr>
        <w:t xml:space="preserve"> However, such collaborative effort is stymied by the requirement for clients to stay with a single provider</w:t>
      </w:r>
      <w:r w:rsidR="00FA60E4">
        <w:rPr>
          <w:rFonts w:ascii="Arial Mäori" w:hAnsi="Arial Mäori"/>
        </w:rPr>
        <w:t xml:space="preserve"> or only use one provider at a time - </w:t>
      </w:r>
      <w:r w:rsidR="000B6DBA">
        <w:rPr>
          <w:rFonts w:ascii="Arial Mäori" w:hAnsi="Arial Mäori"/>
        </w:rPr>
        <w:t xml:space="preserve"> and no provision to split payments across providers for undertaking specific components of the service pathway. One of the reasons provided for not allowing split payments is that SORT won’t allow it. This would have to be the least compelling reason possible. Enabling split payments that brings the best the system has to match the needs of a specific client would seem to be a no brainer. An example would be a provider whose speciality is planning with people who are deaf, but would want the person to access the marketing and employer engagement skills of a provider well recognised in this area.</w:t>
      </w:r>
    </w:p>
    <w:p w:rsidR="00C70CD0" w:rsidRPr="00CB350E" w:rsidRDefault="00C70CD0" w:rsidP="00F33B8D">
      <w:pPr>
        <w:rPr>
          <w:rFonts w:ascii="Arial Mäori" w:hAnsi="Arial Mäori"/>
          <w:b/>
          <w:color w:val="002060"/>
          <w:sz w:val="24"/>
          <w:szCs w:val="24"/>
        </w:rPr>
      </w:pPr>
      <w:r w:rsidRPr="00CB350E">
        <w:rPr>
          <w:rFonts w:ascii="Arial Mäori" w:hAnsi="Arial Mäori"/>
          <w:b/>
          <w:color w:val="002060"/>
          <w:sz w:val="24"/>
          <w:szCs w:val="24"/>
        </w:rPr>
        <w:t>Innovations fund</w:t>
      </w:r>
    </w:p>
    <w:p w:rsidR="000B6DBA" w:rsidRDefault="000B6DBA" w:rsidP="00F33B8D">
      <w:pPr>
        <w:rPr>
          <w:rFonts w:ascii="Arial Mäori" w:hAnsi="Arial Mäori"/>
        </w:rPr>
      </w:pPr>
      <w:r>
        <w:rPr>
          <w:rFonts w:ascii="Arial Mäori" w:hAnsi="Arial Mäori"/>
        </w:rPr>
        <w:t>We have added a service component that would essentially function as an innovations fund in areas like confident employer training, access/inclusion audits</w:t>
      </w:r>
      <w:r w:rsidR="005D11CF">
        <w:rPr>
          <w:rFonts w:ascii="Arial Mäori" w:hAnsi="Arial Mäori"/>
        </w:rPr>
        <w:t>,</w:t>
      </w:r>
      <w:r>
        <w:rPr>
          <w:rFonts w:ascii="Arial Mäori" w:hAnsi="Arial Mäori"/>
        </w:rPr>
        <w:t xml:space="preserve"> developing family aspirations</w:t>
      </w:r>
      <w:r w:rsidR="005D11CF">
        <w:rPr>
          <w:rFonts w:ascii="Arial Mäori" w:hAnsi="Arial Mäori"/>
        </w:rPr>
        <w:t xml:space="preserve"> and raising provider brand awareness. However other initiatives could also benefit from investment in this way: transition from school to work collaborations, internship programmes, </w:t>
      </w:r>
      <w:r w:rsidR="005D11CF">
        <w:rPr>
          <w:rFonts w:ascii="Arial Mäori" w:hAnsi="Arial Mäori"/>
        </w:rPr>
        <w:lastRenderedPageBreak/>
        <w:t>mentoring programmes, employer operated support programmes and so on.</w:t>
      </w:r>
      <w:r w:rsidR="00427529">
        <w:rPr>
          <w:rFonts w:ascii="Arial Mäori" w:hAnsi="Arial Mäori"/>
        </w:rPr>
        <w:t xml:space="preserve"> Demand side focused initiatives have proven value in growing repeat business from employers.</w:t>
      </w:r>
      <w:r w:rsidR="00FA60E4">
        <w:rPr>
          <w:rFonts w:ascii="Arial Mäori" w:hAnsi="Arial Mäori"/>
        </w:rPr>
        <w:t xml:space="preserve"> The concept of an innovations should be considered.</w:t>
      </w:r>
    </w:p>
    <w:p w:rsidR="0043243C" w:rsidRDefault="0043243C" w:rsidP="00F33B8D">
      <w:pPr>
        <w:rPr>
          <w:rFonts w:ascii="Arial Mäori" w:hAnsi="Arial Mäori"/>
          <w:b/>
          <w:color w:val="1F3864" w:themeColor="accent5" w:themeShade="80"/>
          <w:sz w:val="24"/>
          <w:szCs w:val="24"/>
        </w:rPr>
      </w:pPr>
    </w:p>
    <w:p w:rsidR="0043243C" w:rsidRDefault="0043243C" w:rsidP="00F33B8D">
      <w:pPr>
        <w:rPr>
          <w:rFonts w:ascii="Arial Mäori" w:hAnsi="Arial Mäori"/>
          <w:b/>
          <w:color w:val="1F3864" w:themeColor="accent5" w:themeShade="80"/>
          <w:sz w:val="24"/>
          <w:szCs w:val="24"/>
        </w:rPr>
      </w:pPr>
    </w:p>
    <w:p w:rsidR="00C70CD0" w:rsidRPr="00CB350E" w:rsidRDefault="005D11CF" w:rsidP="00F33B8D">
      <w:pPr>
        <w:rPr>
          <w:rFonts w:ascii="Arial Mäori" w:hAnsi="Arial Mäori"/>
          <w:b/>
          <w:color w:val="1F3864" w:themeColor="accent5" w:themeShade="80"/>
          <w:sz w:val="24"/>
          <w:szCs w:val="24"/>
        </w:rPr>
      </w:pPr>
      <w:r w:rsidRPr="00CB350E">
        <w:rPr>
          <w:rFonts w:ascii="Arial Mäori" w:hAnsi="Arial Mäori"/>
          <w:b/>
          <w:color w:val="1F3864" w:themeColor="accent5" w:themeShade="80"/>
          <w:sz w:val="24"/>
          <w:szCs w:val="24"/>
        </w:rPr>
        <w:t>Self-R</w:t>
      </w:r>
      <w:r w:rsidR="00A04FE2" w:rsidRPr="00CB350E">
        <w:rPr>
          <w:rFonts w:ascii="Arial Mäori" w:hAnsi="Arial Mäori"/>
          <w:b/>
          <w:color w:val="1F3864" w:themeColor="accent5" w:themeShade="80"/>
          <w:sz w:val="24"/>
          <w:szCs w:val="24"/>
        </w:rPr>
        <w:t xml:space="preserve">eviews </w:t>
      </w:r>
    </w:p>
    <w:p w:rsidR="00245A22" w:rsidRDefault="00245A22" w:rsidP="00F33B8D">
      <w:pPr>
        <w:rPr>
          <w:rFonts w:ascii="Arial Mäori" w:hAnsi="Arial Mäori"/>
        </w:rPr>
      </w:pPr>
      <w:r>
        <w:rPr>
          <w:rFonts w:ascii="Arial Mäori" w:hAnsi="Arial Mäori"/>
        </w:rPr>
        <w:t>Current contracts require providers to undertake a self-review as outlined in the Employment Practice Guidelines. Such reviews can collectively provide a rich source of aggregated information to guide ongoing quality improvement across the sector as well as informing professional and workforce development priorities. The information could also be used to inform ongoing service design and changes to commissioning.</w:t>
      </w:r>
      <w:r w:rsidR="003A0DBD">
        <w:rPr>
          <w:rFonts w:ascii="Arial Mäori" w:hAnsi="Arial Mäori"/>
        </w:rPr>
        <w:t xml:space="preserve"> It is important that a process is in place to receive the result of these annual self-reviews, and that the information is aggregated and made available to providers, funders and those using services. A robust self-review process also sets up organisations well for independent developmental evaluation.</w:t>
      </w:r>
    </w:p>
    <w:p w:rsidR="00A04FE2" w:rsidRPr="00CB350E" w:rsidRDefault="00A04FE2" w:rsidP="00F33B8D">
      <w:pPr>
        <w:rPr>
          <w:rFonts w:ascii="Arial Mäori" w:hAnsi="Arial Mäori"/>
          <w:b/>
          <w:color w:val="002060"/>
          <w:sz w:val="24"/>
          <w:szCs w:val="24"/>
        </w:rPr>
      </w:pPr>
      <w:r w:rsidRPr="00CB350E">
        <w:rPr>
          <w:rFonts w:ascii="Arial Mäori" w:hAnsi="Arial Mäori"/>
          <w:b/>
          <w:color w:val="002060"/>
          <w:sz w:val="24"/>
          <w:szCs w:val="24"/>
        </w:rPr>
        <w:t>Administrative burden/pricing</w:t>
      </w:r>
    </w:p>
    <w:p w:rsidR="00A04FE2" w:rsidRDefault="00427529" w:rsidP="00F33B8D">
      <w:pPr>
        <w:rPr>
          <w:rFonts w:ascii="Arial Mäori" w:hAnsi="Arial Mäori"/>
        </w:rPr>
      </w:pPr>
      <w:r>
        <w:rPr>
          <w:rFonts w:ascii="Arial Mäori" w:hAnsi="Arial Mäori"/>
        </w:rPr>
        <w:t>Providers regularly comment on the heavy administrative burden and cash flow challenges associated with milestone payments. We have tried to address some aspects of this by reducing the number of price points, however the burden associated with high transaction costs (mostly invoicing</w:t>
      </w:r>
      <w:r w:rsidR="00FA60E4">
        <w:rPr>
          <w:rFonts w:ascii="Arial Mäori" w:hAnsi="Arial Mäori"/>
        </w:rPr>
        <w:t xml:space="preserve"> and reporting</w:t>
      </w:r>
      <w:r>
        <w:rPr>
          <w:rFonts w:ascii="Arial Mäori" w:hAnsi="Arial Mäori"/>
        </w:rPr>
        <w:t>) will largely remain. These costs need to be reflected in pricing.</w:t>
      </w:r>
      <w:r w:rsidR="00166D17">
        <w:rPr>
          <w:rFonts w:ascii="Arial Mäori" w:hAnsi="Arial Mäori"/>
        </w:rPr>
        <w:t xml:space="preserve"> Applying for ongoing/ad hoc support post 12 months is also regularly described as time consuming – this needs to be further explored.</w:t>
      </w:r>
    </w:p>
    <w:p w:rsidR="00427529" w:rsidRPr="00CB350E" w:rsidRDefault="00566C36" w:rsidP="00F33B8D">
      <w:pPr>
        <w:rPr>
          <w:rFonts w:ascii="Arial Mäori" w:hAnsi="Arial Mäori"/>
          <w:b/>
          <w:color w:val="002060"/>
          <w:sz w:val="24"/>
          <w:szCs w:val="24"/>
        </w:rPr>
      </w:pPr>
      <w:r w:rsidRPr="00CB350E">
        <w:rPr>
          <w:rFonts w:ascii="Arial Mäori" w:hAnsi="Arial Mäori"/>
          <w:b/>
          <w:color w:val="002060"/>
          <w:sz w:val="24"/>
          <w:szCs w:val="24"/>
        </w:rPr>
        <w:t xml:space="preserve">Allowing for </w:t>
      </w:r>
      <w:r w:rsidR="00427529" w:rsidRPr="00CB350E">
        <w:rPr>
          <w:rFonts w:ascii="Arial Mäori" w:hAnsi="Arial Mäori"/>
          <w:b/>
          <w:color w:val="002060"/>
          <w:sz w:val="24"/>
          <w:szCs w:val="24"/>
        </w:rPr>
        <w:t>diverse</w:t>
      </w:r>
      <w:r w:rsidR="00F37287" w:rsidRPr="00CB350E">
        <w:rPr>
          <w:rFonts w:ascii="Arial Mäori" w:hAnsi="Arial Mäori"/>
          <w:b/>
          <w:color w:val="002060"/>
          <w:sz w:val="24"/>
          <w:szCs w:val="24"/>
        </w:rPr>
        <w:t xml:space="preserve"> and rapidly changing l</w:t>
      </w:r>
      <w:r w:rsidR="00427529" w:rsidRPr="00CB350E">
        <w:rPr>
          <w:rFonts w:ascii="Arial Mäori" w:hAnsi="Arial Mäori"/>
          <w:b/>
          <w:color w:val="002060"/>
          <w:sz w:val="24"/>
          <w:szCs w:val="24"/>
        </w:rPr>
        <w:t>abour markets.</w:t>
      </w:r>
    </w:p>
    <w:p w:rsidR="00427529" w:rsidRDefault="00427529" w:rsidP="00F33B8D">
      <w:pPr>
        <w:rPr>
          <w:rFonts w:ascii="Arial Mäori" w:hAnsi="Arial Mäori"/>
        </w:rPr>
      </w:pPr>
      <w:r>
        <w:rPr>
          <w:rFonts w:ascii="Arial Mäori" w:hAnsi="Arial Mäori"/>
        </w:rPr>
        <w:t xml:space="preserve">It has long been recognised that there are features of the New Zealand labour market related to regional and industry specific differences that make for “precarious” employment as the norm. </w:t>
      </w:r>
      <w:r w:rsidR="00F37287">
        <w:rPr>
          <w:rFonts w:ascii="Arial Mäori" w:hAnsi="Arial Mäori"/>
        </w:rPr>
        <w:t xml:space="preserve">Usually this has been related to regions where seasonal work dominates the market and the idea of permanent year round employment is relatively unusual. With the fall-out from </w:t>
      </w:r>
      <w:r w:rsidR="00F37287">
        <w:rPr>
          <w:rFonts w:ascii="Arial Mäori" w:hAnsi="Arial Mäori"/>
        </w:rPr>
        <w:lastRenderedPageBreak/>
        <w:t>COVID-19</w:t>
      </w:r>
      <w:r w:rsidR="00CB350E">
        <w:rPr>
          <w:rFonts w:ascii="Arial Mäori" w:hAnsi="Arial Mäori"/>
        </w:rPr>
        <w:t xml:space="preserve">, together with rapidly advancing technology changes, </w:t>
      </w:r>
      <w:r w:rsidR="00F37287">
        <w:rPr>
          <w:rFonts w:ascii="Arial Mäori" w:hAnsi="Arial Mäori"/>
        </w:rPr>
        <w:t>there will be an added overlay of industry specific circumstances</w:t>
      </w:r>
      <w:r w:rsidR="00CB350E">
        <w:rPr>
          <w:rFonts w:ascii="Arial Mäori" w:hAnsi="Arial Mäori"/>
        </w:rPr>
        <w:t xml:space="preserve">, a likely increase in precarious employment and </w:t>
      </w:r>
      <w:r w:rsidR="00F37287">
        <w:rPr>
          <w:rFonts w:ascii="Arial Mäori" w:hAnsi="Arial Mäori"/>
        </w:rPr>
        <w:t xml:space="preserve">where permanent employment will be very hard won, particularly in some regions – tourism related work being a </w:t>
      </w:r>
      <w:r w:rsidR="00B13070">
        <w:rPr>
          <w:rFonts w:ascii="Arial Mäori" w:hAnsi="Arial Mäori"/>
        </w:rPr>
        <w:t xml:space="preserve">current </w:t>
      </w:r>
      <w:r w:rsidR="00F37287">
        <w:rPr>
          <w:rFonts w:ascii="Arial Mäori" w:hAnsi="Arial Mäori"/>
        </w:rPr>
        <w:t xml:space="preserve">case in point. In such a context competition for existing permanent vacancies will be intense. </w:t>
      </w:r>
      <w:r w:rsidR="004139B7">
        <w:rPr>
          <w:rFonts w:ascii="Arial Mäori" w:hAnsi="Arial Mäori"/>
        </w:rPr>
        <w:t xml:space="preserve">This means that employment support providers will have to be that much better at “developing jobs:” well-crafted proposals that create a job opportunity for a specific individual </w:t>
      </w:r>
      <w:r w:rsidR="004139B7" w:rsidRPr="004139B7">
        <w:rPr>
          <w:rFonts w:ascii="Arial Mäori" w:hAnsi="Arial Mäori"/>
          <w:i/>
        </w:rPr>
        <w:t>and</w:t>
      </w:r>
      <w:r w:rsidR="004139B7">
        <w:rPr>
          <w:rFonts w:ascii="Arial Mäori" w:hAnsi="Arial Mäori"/>
        </w:rPr>
        <w:t xml:space="preserve"> provide productivity gains for the employer. In regions and industries where precarious employment prevails these roles are likely to be casual, seasonal and temporary - and </w:t>
      </w:r>
      <w:r w:rsidR="00B13070">
        <w:rPr>
          <w:rFonts w:ascii="Arial Mäori" w:hAnsi="Arial Mäori"/>
        </w:rPr>
        <w:t xml:space="preserve">in the medium term, </w:t>
      </w:r>
      <w:r w:rsidR="004139B7">
        <w:rPr>
          <w:rFonts w:ascii="Arial Mäori" w:hAnsi="Arial Mäori"/>
        </w:rPr>
        <w:t>where wage subsidy/job creation schemes are common. All these contextual factors need to be considered when evaluating provider performance.</w:t>
      </w:r>
      <w:r w:rsidR="00B13070">
        <w:rPr>
          <w:rFonts w:ascii="Arial Mäori" w:hAnsi="Arial Mäori"/>
        </w:rPr>
        <w:t xml:space="preserve"> Outcomes based contract payments need to be able to respond to the reality of episodic employment – based on the vagaries of the labour market and the varying impact of some impairments and health conditions.</w:t>
      </w:r>
    </w:p>
    <w:p w:rsidR="007551DE" w:rsidRPr="00CB350E" w:rsidRDefault="007551DE" w:rsidP="00F33B8D">
      <w:pPr>
        <w:rPr>
          <w:rFonts w:ascii="Arial Mäori" w:hAnsi="Arial Mäori"/>
          <w:b/>
          <w:color w:val="002060"/>
        </w:rPr>
      </w:pPr>
      <w:r w:rsidRPr="00CB350E">
        <w:rPr>
          <w:rFonts w:ascii="Arial Mäori" w:hAnsi="Arial Mäori"/>
          <w:b/>
          <w:color w:val="002060"/>
        </w:rPr>
        <w:t>Benchmarking ho</w:t>
      </w:r>
      <w:r w:rsidR="00A4490D" w:rsidRPr="00CB350E">
        <w:rPr>
          <w:rFonts w:ascii="Arial Mäori" w:hAnsi="Arial Mäori"/>
          <w:b/>
          <w:color w:val="002060"/>
        </w:rPr>
        <w:t>u</w:t>
      </w:r>
      <w:r w:rsidRPr="00CB350E">
        <w:rPr>
          <w:rFonts w:ascii="Arial Mäori" w:hAnsi="Arial Mäori"/>
          <w:b/>
          <w:color w:val="002060"/>
        </w:rPr>
        <w:t>rs and pricing</w:t>
      </w:r>
    </w:p>
    <w:p w:rsidR="007551DE" w:rsidRDefault="007551DE" w:rsidP="00F33B8D">
      <w:pPr>
        <w:rPr>
          <w:rFonts w:ascii="Arial Mäori" w:hAnsi="Arial Mäori"/>
        </w:rPr>
      </w:pPr>
      <w:r>
        <w:rPr>
          <w:rFonts w:ascii="Arial Mäori" w:hAnsi="Arial Mäori"/>
        </w:rPr>
        <w:t>The project brief asked us to work within current contract pricing.</w:t>
      </w:r>
      <w:r w:rsidR="00A4490D">
        <w:rPr>
          <w:rFonts w:ascii="Arial Mäori" w:hAnsi="Arial Mäori"/>
        </w:rPr>
        <w:t xml:space="preserve"> This meant an emphasis on re-aligning the existing resource across the various service components and price points. While this may lead to a better emphasis on those activities that are likely to lead to more sustainable employment outcomes the reality is that the current total of hours and pricing falls short of what is actually needed. Given the practices and approaches outlined in the Employment Practice Guidelines we estimate that hours are approximately 100 short – and if available need to be added to job development/placement and ongoing/ad hoc support. Furthermore, the actual cost of all inputs, including a modest margin</w:t>
      </w:r>
      <w:r w:rsidR="00BA1D2D">
        <w:rPr>
          <w:rFonts w:ascii="Arial Mäori" w:hAnsi="Arial Mäori"/>
        </w:rPr>
        <w:t xml:space="preserve"> of 2% is in the vicinity of $70</w:t>
      </w:r>
      <w:r w:rsidR="00311890">
        <w:rPr>
          <w:rFonts w:ascii="Arial Mäori" w:hAnsi="Arial Mäori"/>
        </w:rPr>
        <w:t xml:space="preserve"> per hour, no</w:t>
      </w:r>
      <w:r w:rsidR="00A4490D">
        <w:rPr>
          <w:rFonts w:ascii="Arial Mäori" w:hAnsi="Arial Mäori"/>
        </w:rPr>
        <w:t xml:space="preserve">t the current </w:t>
      </w:r>
      <w:r w:rsidR="00311890">
        <w:rPr>
          <w:rFonts w:ascii="Arial Mäori" w:hAnsi="Arial Mäori"/>
        </w:rPr>
        <w:t>$60. This estimate is based on similar costs and salaries in the mainstream recruitment and career development industry</w:t>
      </w:r>
      <w:r w:rsidR="00753B7A">
        <w:rPr>
          <w:rFonts w:ascii="Arial Mäori" w:hAnsi="Arial Mäori"/>
        </w:rPr>
        <w:t>, along with the actual costs of current providers</w:t>
      </w:r>
      <w:r w:rsidR="00311890">
        <w:rPr>
          <w:rFonts w:ascii="Arial Mäori" w:hAnsi="Arial Mäori"/>
        </w:rPr>
        <w:t>.</w:t>
      </w:r>
    </w:p>
    <w:p w:rsidR="00557FA7" w:rsidRDefault="00557FA7" w:rsidP="00557FA7">
      <w:pPr>
        <w:rPr>
          <w:rFonts w:ascii="Arial Mäori" w:hAnsi="Arial Mäori"/>
        </w:rPr>
      </w:pPr>
      <w:r w:rsidRPr="00557FA7">
        <w:rPr>
          <w:rFonts w:ascii="Arial Mäori" w:hAnsi="Arial Mäori"/>
          <w:b/>
        </w:rPr>
        <w:t xml:space="preserve">Some further discussion on the distribution of hours across the various service components may be warranted to ensure that this is well matched to the intent of the changes </w:t>
      </w:r>
      <w:r>
        <w:rPr>
          <w:rFonts w:ascii="Arial Mäori" w:hAnsi="Arial Mäori"/>
        </w:rPr>
        <w:t>– a greater investment in the job development process and the first 3 month’s post placement along with a job retention focus post 12 month</w:t>
      </w:r>
      <w:r w:rsidR="00166D17">
        <w:rPr>
          <w:rFonts w:ascii="Arial Mäori" w:hAnsi="Arial Mäori"/>
        </w:rPr>
        <w:t xml:space="preserve">s. There is scope to shift further hours from the </w:t>
      </w:r>
      <w:r w:rsidR="00166D17">
        <w:rPr>
          <w:rFonts w:ascii="Arial Mäori" w:hAnsi="Arial Mäori"/>
        </w:rPr>
        <w:lastRenderedPageBreak/>
        <w:t>6,9and 12month continuous employment payments into job development/placement,</w:t>
      </w:r>
      <w:r w:rsidR="0043243C">
        <w:rPr>
          <w:rFonts w:ascii="Arial Mäori" w:hAnsi="Arial Mäori"/>
        </w:rPr>
        <w:t xml:space="preserve"> 3</w:t>
      </w:r>
      <w:r w:rsidR="00166D17">
        <w:rPr>
          <w:rFonts w:ascii="Arial Mäori" w:hAnsi="Arial Mäori"/>
        </w:rPr>
        <w:t>month employment milestone and ongoing/ad hoc support</w:t>
      </w:r>
      <w:r w:rsidR="0043243C">
        <w:rPr>
          <w:rFonts w:ascii="Arial Mäori" w:hAnsi="Arial Mäori"/>
        </w:rPr>
        <w:t xml:space="preserve"> post 12 months</w:t>
      </w:r>
      <w:r w:rsidR="001E71A3">
        <w:rPr>
          <w:rFonts w:ascii="Arial Mäori" w:hAnsi="Arial Mäori"/>
        </w:rPr>
        <w:t>.</w:t>
      </w:r>
    </w:p>
    <w:p w:rsidR="004139B7" w:rsidRPr="00081493" w:rsidRDefault="004139B7" w:rsidP="00F33B8D">
      <w:pPr>
        <w:rPr>
          <w:rFonts w:ascii="Arial Mäori" w:hAnsi="Arial Mäori"/>
          <w:b/>
          <w:color w:val="385623" w:themeColor="accent6" w:themeShade="80"/>
          <w:sz w:val="28"/>
          <w:szCs w:val="28"/>
        </w:rPr>
      </w:pPr>
      <w:r w:rsidRPr="00081493">
        <w:rPr>
          <w:rFonts w:ascii="Arial Mäori" w:hAnsi="Arial Mäori"/>
          <w:b/>
          <w:color w:val="385623" w:themeColor="accent6" w:themeShade="80"/>
          <w:sz w:val="28"/>
          <w:szCs w:val="28"/>
        </w:rPr>
        <w:t>Project Brief</w:t>
      </w:r>
      <w:r w:rsidR="00311890" w:rsidRPr="00081493">
        <w:rPr>
          <w:rFonts w:ascii="Arial Mäori" w:hAnsi="Arial Mäori"/>
          <w:b/>
          <w:color w:val="385623" w:themeColor="accent6" w:themeShade="80"/>
          <w:sz w:val="28"/>
          <w:szCs w:val="28"/>
        </w:rPr>
        <w:t xml:space="preserve"> from MSD</w:t>
      </w:r>
    </w:p>
    <w:p w:rsidR="00F33B8D" w:rsidRDefault="00F33B8D" w:rsidP="00F33B8D">
      <w:pPr>
        <w:rPr>
          <w:rFonts w:ascii="Arial Mäori" w:hAnsi="Arial Mäori"/>
        </w:rPr>
      </w:pPr>
      <w:r>
        <w:rPr>
          <w:rFonts w:ascii="Arial Mäori" w:hAnsi="Arial Mäori"/>
        </w:rPr>
        <w:t>As discussed, we would like some advice from NZDSN about possible settings for the Employment Service in a post Covid-19 world.</w:t>
      </w:r>
    </w:p>
    <w:p w:rsidR="00F33B8D" w:rsidRDefault="00F33B8D" w:rsidP="00F33B8D">
      <w:pPr>
        <w:rPr>
          <w:rFonts w:ascii="Arial Mäori" w:hAnsi="Arial Mäori"/>
        </w:rPr>
      </w:pPr>
      <w:r>
        <w:rPr>
          <w:rFonts w:ascii="Arial Mäori" w:hAnsi="Arial Mäori"/>
        </w:rPr>
        <w:t>We are interested in the thoughts your group has already had as well as consideration of some specific areas:</w:t>
      </w:r>
    </w:p>
    <w:p w:rsidR="00F33B8D" w:rsidRDefault="00F33B8D" w:rsidP="00F33B8D">
      <w:pPr>
        <w:numPr>
          <w:ilvl w:val="0"/>
          <w:numId w:val="2"/>
        </w:numPr>
        <w:spacing w:after="0" w:line="240" w:lineRule="auto"/>
        <w:rPr>
          <w:rFonts w:ascii="Arial Mäori" w:eastAsia="Times New Roman" w:hAnsi="Arial Mäori"/>
        </w:rPr>
      </w:pPr>
      <w:r>
        <w:rPr>
          <w:rFonts w:ascii="Arial Mäori" w:eastAsia="Times New Roman" w:hAnsi="Arial Mäori"/>
        </w:rPr>
        <w:t>Overall alignment with the Employment Support guidelines</w:t>
      </w:r>
    </w:p>
    <w:p w:rsidR="00F33B8D" w:rsidRDefault="00F33B8D" w:rsidP="00F33B8D">
      <w:pPr>
        <w:numPr>
          <w:ilvl w:val="0"/>
          <w:numId w:val="2"/>
        </w:numPr>
        <w:spacing w:after="0" w:line="240" w:lineRule="auto"/>
        <w:rPr>
          <w:rFonts w:ascii="Arial Mäori" w:eastAsia="Times New Roman" w:hAnsi="Arial Mäori"/>
        </w:rPr>
      </w:pPr>
      <w:r>
        <w:rPr>
          <w:rFonts w:ascii="Arial Mäori" w:eastAsia="Times New Roman" w:hAnsi="Arial Mäori"/>
        </w:rPr>
        <w:t>Work readiness including whether someone enrolling in training to better their employment prospects and being supported through this training should be a milestone</w:t>
      </w:r>
    </w:p>
    <w:p w:rsidR="00F33B8D" w:rsidRDefault="00F33B8D" w:rsidP="00F33B8D">
      <w:pPr>
        <w:numPr>
          <w:ilvl w:val="0"/>
          <w:numId w:val="2"/>
        </w:numPr>
        <w:spacing w:after="0" w:line="240" w:lineRule="auto"/>
        <w:rPr>
          <w:rFonts w:ascii="Arial Mäori" w:eastAsia="Times New Roman" w:hAnsi="Arial Mäori"/>
        </w:rPr>
      </w:pPr>
      <w:r>
        <w:rPr>
          <w:rFonts w:ascii="Arial Mäori" w:eastAsia="Times New Roman" w:hAnsi="Arial Mäori"/>
        </w:rPr>
        <w:t>Should we incentivise job carving, if so, how?</w:t>
      </w:r>
    </w:p>
    <w:p w:rsidR="00F33B8D" w:rsidRDefault="00F33B8D" w:rsidP="00F33B8D">
      <w:pPr>
        <w:numPr>
          <w:ilvl w:val="0"/>
          <w:numId w:val="2"/>
        </w:numPr>
        <w:spacing w:after="0" w:line="240" w:lineRule="auto"/>
        <w:rPr>
          <w:rFonts w:ascii="Arial Mäori" w:eastAsia="Times New Roman" w:hAnsi="Arial Mäori"/>
        </w:rPr>
      </w:pPr>
      <w:r>
        <w:rPr>
          <w:rFonts w:ascii="Arial Mäori" w:eastAsia="Times New Roman" w:hAnsi="Arial Mäori"/>
        </w:rPr>
        <w:t xml:space="preserve">Eligibility for the service. At the moment the criteria are wide. As we have discussed previously, 90% of the time providers give us good descriptions of the disability, and more importantly, barriers to employment. However, some enrolment information isn’t robust and almost feels like providers have gone looking for something to retrofit so the person is eligible for the service. If we can hit on the right criteria we can make sure the service is targeting the right people and save everyone administration time </w:t>
      </w:r>
    </w:p>
    <w:p w:rsidR="00F33B8D" w:rsidRDefault="00F33B8D" w:rsidP="00F33B8D">
      <w:pPr>
        <w:numPr>
          <w:ilvl w:val="0"/>
          <w:numId w:val="2"/>
        </w:numPr>
        <w:spacing w:after="0" w:line="240" w:lineRule="auto"/>
        <w:rPr>
          <w:rFonts w:ascii="Arial Mäori" w:eastAsia="Times New Roman" w:hAnsi="Arial Mäori"/>
        </w:rPr>
      </w:pPr>
      <w:r>
        <w:rPr>
          <w:rFonts w:ascii="Arial Mäori" w:eastAsia="Times New Roman" w:hAnsi="Arial Mäori"/>
        </w:rPr>
        <w:t>Enrolments: There are providers with very high number of enrolments, they place a reasonable number of people into employment but often this is fixed term, short term or 90 trial employment that is not sustained. Or people are not placed in employment, the enrolment is ended after a year and they are re-enrolled in the service generating another fee</w:t>
      </w:r>
    </w:p>
    <w:p w:rsidR="00F33B8D" w:rsidRDefault="00F33B8D" w:rsidP="00F33B8D">
      <w:pPr>
        <w:numPr>
          <w:ilvl w:val="0"/>
          <w:numId w:val="2"/>
        </w:numPr>
        <w:spacing w:after="0" w:line="240" w:lineRule="auto"/>
        <w:rPr>
          <w:rFonts w:ascii="Arial Mäori" w:eastAsia="Times New Roman" w:hAnsi="Arial Mäori"/>
        </w:rPr>
      </w:pPr>
      <w:r>
        <w:rPr>
          <w:rFonts w:ascii="Arial Mäori" w:eastAsia="Times New Roman" w:hAnsi="Arial Mäori"/>
        </w:rPr>
        <w:t>Should we continue with the funding differential for people employed on Mainstream wage subsidies now we have changed the settings for Mainstream? What about people employed on Productivity Allowances, Flexi Wage or other subsidies that might be part of post Covid-19 life?</w:t>
      </w:r>
    </w:p>
    <w:p w:rsidR="00F33B8D" w:rsidRDefault="00F33B8D" w:rsidP="00F33B8D">
      <w:pPr>
        <w:numPr>
          <w:ilvl w:val="0"/>
          <w:numId w:val="2"/>
        </w:numPr>
        <w:spacing w:after="0" w:line="240" w:lineRule="auto"/>
        <w:rPr>
          <w:rFonts w:ascii="Arial Mäori" w:eastAsia="Times New Roman" w:hAnsi="Arial Mäori"/>
        </w:rPr>
      </w:pPr>
      <w:r>
        <w:rPr>
          <w:rFonts w:ascii="Arial Mäori" w:eastAsia="Times New Roman" w:hAnsi="Arial Mäori"/>
        </w:rPr>
        <w:t>Is there enough support to keep people in work who have been employed long term – currently covered by the ad hoc payment</w:t>
      </w:r>
    </w:p>
    <w:p w:rsidR="00F33B8D" w:rsidRDefault="00F33B8D" w:rsidP="00F33B8D">
      <w:pPr>
        <w:rPr>
          <w:rFonts w:ascii="Arial Mäori" w:hAnsi="Arial Mäori"/>
        </w:rPr>
      </w:pPr>
    </w:p>
    <w:p w:rsidR="00F33B8D" w:rsidRDefault="00F33B8D" w:rsidP="00F33B8D">
      <w:pPr>
        <w:rPr>
          <w:rFonts w:ascii="Arial Mäori" w:hAnsi="Arial Mäori"/>
        </w:rPr>
      </w:pPr>
      <w:r>
        <w:rPr>
          <w:rFonts w:ascii="Arial Mäori" w:hAnsi="Arial Mäori"/>
        </w:rPr>
        <w:lastRenderedPageBreak/>
        <w:t xml:space="preserve">Any changes will need to be made within the existing funding and with the existing contracted providers (most have contracts to 30 June 2024). </w:t>
      </w:r>
    </w:p>
    <w:p w:rsidR="0043243C" w:rsidRDefault="00F33B8D">
      <w:r>
        <w:rPr>
          <w:rFonts w:ascii="Arial Mäori" w:hAnsi="Arial Mäori"/>
        </w:rPr>
        <w:t>We will need the advice quickly, ideally by the end of May so we can use it to make and communicate decisions by the end of June. Implementation will take time because we need to make changes to SORT, vary contracts etc.</w:t>
      </w:r>
      <w:r w:rsidR="0048783A">
        <w:t xml:space="preserve"> </w:t>
      </w:r>
    </w:p>
    <w:p w:rsidR="0043243C" w:rsidRDefault="0043243C"/>
    <w:p w:rsidR="00166D17" w:rsidRDefault="00166D17"/>
    <w:sectPr w:rsidR="00166D17" w:rsidSect="009D5EC6">
      <w:footerReference w:type="default" r:id="rId9"/>
      <w:pgSz w:w="16838" w:h="11906" w:orient="landscape"/>
      <w:pgMar w:top="1247" w:right="1440" w:bottom="124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18" w:rsidRDefault="00E41F18" w:rsidP="00056D6F">
      <w:pPr>
        <w:spacing w:after="0" w:line="240" w:lineRule="auto"/>
      </w:pPr>
      <w:r>
        <w:separator/>
      </w:r>
    </w:p>
  </w:endnote>
  <w:endnote w:type="continuationSeparator" w:id="0">
    <w:p w:rsidR="00E41F18" w:rsidRDefault="00E41F18" w:rsidP="0005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78263"/>
      <w:docPartObj>
        <w:docPartGallery w:val="Page Numbers (Bottom of Page)"/>
        <w:docPartUnique/>
      </w:docPartObj>
    </w:sdtPr>
    <w:sdtEndPr>
      <w:rPr>
        <w:noProof/>
      </w:rPr>
    </w:sdtEndPr>
    <w:sdtContent>
      <w:p w:rsidR="00081493" w:rsidRDefault="00081493">
        <w:pPr>
          <w:pStyle w:val="Footer"/>
          <w:jc w:val="right"/>
        </w:pPr>
        <w:r>
          <w:fldChar w:fldCharType="begin"/>
        </w:r>
        <w:r>
          <w:instrText xml:space="preserve"> PAGE   \* MERGEFORMAT </w:instrText>
        </w:r>
        <w:r>
          <w:fldChar w:fldCharType="separate"/>
        </w:r>
        <w:r w:rsidR="00BA2CCE">
          <w:rPr>
            <w:noProof/>
          </w:rPr>
          <w:t>9</w:t>
        </w:r>
        <w:r>
          <w:rPr>
            <w:noProof/>
          </w:rPr>
          <w:fldChar w:fldCharType="end"/>
        </w:r>
      </w:p>
    </w:sdtContent>
  </w:sdt>
  <w:p w:rsidR="00056D6F" w:rsidRDefault="00056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18" w:rsidRDefault="00E41F18" w:rsidP="00056D6F">
      <w:pPr>
        <w:spacing w:after="0" w:line="240" w:lineRule="auto"/>
      </w:pPr>
      <w:r>
        <w:separator/>
      </w:r>
    </w:p>
  </w:footnote>
  <w:footnote w:type="continuationSeparator" w:id="0">
    <w:p w:rsidR="00E41F18" w:rsidRDefault="00E41F18" w:rsidP="0005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4C1"/>
    <w:multiLevelType w:val="hybridMultilevel"/>
    <w:tmpl w:val="474CB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955025"/>
    <w:multiLevelType w:val="multilevel"/>
    <w:tmpl w:val="CA4EBB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65017"/>
    <w:multiLevelType w:val="hybridMultilevel"/>
    <w:tmpl w:val="6798CE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B217DD"/>
    <w:multiLevelType w:val="hybridMultilevel"/>
    <w:tmpl w:val="46ACBCD8"/>
    <w:lvl w:ilvl="0" w:tplc="B4EC6AA0">
      <w:start w:val="1"/>
      <w:numFmt w:val="decimal"/>
      <w:lvlText w:val="%1."/>
      <w:lvlJc w:val="left"/>
      <w:pPr>
        <w:ind w:left="360" w:hanging="360"/>
      </w:pPr>
      <w:rPr>
        <w:rFonts w:hint="default"/>
        <w:spacing w:val="3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2FA424E"/>
    <w:multiLevelType w:val="multilevel"/>
    <w:tmpl w:val="B6741422"/>
    <w:lvl w:ilvl="0">
      <w:start w:val="1"/>
      <w:numFmt w:val="decimal"/>
      <w:lvlText w:val="%1."/>
      <w:lvlJc w:val="left"/>
      <w:pPr>
        <w:ind w:left="1080" w:hanging="360"/>
      </w:pPr>
      <w:rPr>
        <w:rFonts w:ascii="Arial Mäori" w:eastAsiaTheme="minorHAnsi" w:hAnsi="Arial Mäori" w:cstheme="minorBidi"/>
      </w:rPr>
    </w:lvl>
    <w:lvl w:ilvl="1">
      <w:start w:val="1"/>
      <w:numFmt w:val="decimal"/>
      <w:isLgl/>
      <w:lvlText w:val="%1.%2"/>
      <w:lvlJc w:val="left"/>
      <w:pPr>
        <w:ind w:left="108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440" w:hanging="72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1800" w:hanging="1080"/>
      </w:pPr>
      <w:rPr>
        <w:rFonts w:hint="default"/>
        <w:b/>
        <w:sz w:val="24"/>
      </w:rPr>
    </w:lvl>
    <w:lvl w:ilvl="6">
      <w:start w:val="1"/>
      <w:numFmt w:val="decimal"/>
      <w:isLgl/>
      <w:lvlText w:val="%1.%2.%3.%4.%5.%6.%7"/>
      <w:lvlJc w:val="left"/>
      <w:pPr>
        <w:ind w:left="2160" w:hanging="1440"/>
      </w:pPr>
      <w:rPr>
        <w:rFonts w:hint="default"/>
        <w:b/>
        <w:sz w:val="24"/>
      </w:rPr>
    </w:lvl>
    <w:lvl w:ilvl="7">
      <w:start w:val="1"/>
      <w:numFmt w:val="decimal"/>
      <w:isLgl/>
      <w:lvlText w:val="%1.%2.%3.%4.%5.%6.%7.%8"/>
      <w:lvlJc w:val="left"/>
      <w:pPr>
        <w:ind w:left="2160" w:hanging="1440"/>
      </w:pPr>
      <w:rPr>
        <w:rFonts w:hint="default"/>
        <w:b/>
        <w:sz w:val="24"/>
      </w:rPr>
    </w:lvl>
    <w:lvl w:ilvl="8">
      <w:start w:val="1"/>
      <w:numFmt w:val="decimal"/>
      <w:isLgl/>
      <w:lvlText w:val="%1.%2.%3.%4.%5.%6.%7.%8.%9"/>
      <w:lvlJc w:val="left"/>
      <w:pPr>
        <w:ind w:left="2160" w:hanging="1440"/>
      </w:pPr>
      <w:rPr>
        <w:rFonts w:hint="default"/>
        <w:b/>
        <w:sz w:val="24"/>
      </w:rPr>
    </w:lvl>
  </w:abstractNum>
  <w:abstractNum w:abstractNumId="5" w15:restartNumberingAfterBreak="0">
    <w:nsid w:val="172068E7"/>
    <w:multiLevelType w:val="hybridMultilevel"/>
    <w:tmpl w:val="6CC2C8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99E69E4"/>
    <w:multiLevelType w:val="hybridMultilevel"/>
    <w:tmpl w:val="14E623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9E05D8F"/>
    <w:multiLevelType w:val="hybridMultilevel"/>
    <w:tmpl w:val="F418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8A4561"/>
    <w:multiLevelType w:val="hybridMultilevel"/>
    <w:tmpl w:val="C58AB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2B6405"/>
    <w:multiLevelType w:val="hybridMultilevel"/>
    <w:tmpl w:val="E2EE63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4BF691E"/>
    <w:multiLevelType w:val="hybridMultilevel"/>
    <w:tmpl w:val="0254B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18507B"/>
    <w:multiLevelType w:val="hybridMultilevel"/>
    <w:tmpl w:val="63CE6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A900EF"/>
    <w:multiLevelType w:val="multilevel"/>
    <w:tmpl w:val="E78A25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color w:val="385623" w:themeColor="accent6"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92787"/>
    <w:multiLevelType w:val="hybridMultilevel"/>
    <w:tmpl w:val="F48C5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432F7"/>
    <w:multiLevelType w:val="hybridMultilevel"/>
    <w:tmpl w:val="8F9246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02B1A27"/>
    <w:multiLevelType w:val="multilevel"/>
    <w:tmpl w:val="187EE49A"/>
    <w:lvl w:ilvl="0">
      <w:start w:val="6"/>
      <w:numFmt w:val="decimal"/>
      <w:lvlText w:val="%1"/>
      <w:lvlJc w:val="left"/>
      <w:pPr>
        <w:ind w:left="375" w:hanging="375"/>
      </w:pPr>
      <w:rPr>
        <w:rFonts w:hint="default"/>
        <w:u w:val="none"/>
      </w:rPr>
    </w:lvl>
    <w:lvl w:ilvl="1">
      <w:start w:val="3"/>
      <w:numFmt w:val="decimal"/>
      <w:lvlText w:val="%1.%2"/>
      <w:lvlJc w:val="left"/>
      <w:pPr>
        <w:ind w:left="375" w:hanging="375"/>
      </w:pPr>
      <w:rPr>
        <w:rFonts w:hint="default"/>
        <w:color w:val="385623" w:themeColor="accent6" w:themeShade="8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6" w15:restartNumberingAfterBreak="0">
    <w:nsid w:val="318044B3"/>
    <w:multiLevelType w:val="hybridMultilevel"/>
    <w:tmpl w:val="9B7C82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3446F70"/>
    <w:multiLevelType w:val="hybridMultilevel"/>
    <w:tmpl w:val="265E4AB8"/>
    <w:lvl w:ilvl="0" w:tplc="A782BCB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394029D"/>
    <w:multiLevelType w:val="hybridMultilevel"/>
    <w:tmpl w:val="81CE2C96"/>
    <w:lvl w:ilvl="0" w:tplc="9D08E81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C49FC"/>
    <w:multiLevelType w:val="hybridMultilevel"/>
    <w:tmpl w:val="19BEDB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5523EE1"/>
    <w:multiLevelType w:val="hybridMultilevel"/>
    <w:tmpl w:val="DEA8863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5BB7B38"/>
    <w:multiLevelType w:val="hybridMultilevel"/>
    <w:tmpl w:val="6B18E6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9855EB"/>
    <w:multiLevelType w:val="multilevel"/>
    <w:tmpl w:val="156C2520"/>
    <w:lvl w:ilvl="0">
      <w:start w:val="1"/>
      <w:numFmt w:val="decimal"/>
      <w:lvlText w:val="%1."/>
      <w:lvlJc w:val="left"/>
      <w:pPr>
        <w:ind w:left="360" w:hanging="360"/>
      </w:pPr>
      <w:rPr>
        <w:rFonts w:ascii="Arial" w:hAnsi="Arial" w:cs="Arial" w:hint="default"/>
        <w:spacing w:val="28"/>
        <w:sz w:val="22"/>
        <w:szCs w:val="1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0AA03C3"/>
    <w:multiLevelType w:val="hybridMultilevel"/>
    <w:tmpl w:val="FA2AA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3177BD0"/>
    <w:multiLevelType w:val="hybridMultilevel"/>
    <w:tmpl w:val="A306A8CE"/>
    <w:lvl w:ilvl="0" w:tplc="5DA01ABE">
      <w:start w:val="2"/>
      <w:numFmt w:val="decimal"/>
      <w:lvlText w:val="%1."/>
      <w:lvlJc w:val="left"/>
      <w:pPr>
        <w:ind w:left="360" w:hanging="360"/>
      </w:pPr>
      <w:rPr>
        <w:rFonts w:hint="default"/>
        <w:b/>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4430A72"/>
    <w:multiLevelType w:val="hybridMultilevel"/>
    <w:tmpl w:val="4FBE93D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5A51197"/>
    <w:multiLevelType w:val="hybridMultilevel"/>
    <w:tmpl w:val="EDA2E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290BA7"/>
    <w:multiLevelType w:val="hybridMultilevel"/>
    <w:tmpl w:val="0C00B252"/>
    <w:lvl w:ilvl="0" w:tplc="86560312">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97252A7"/>
    <w:multiLevelType w:val="hybridMultilevel"/>
    <w:tmpl w:val="25569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CA10591"/>
    <w:multiLevelType w:val="hybridMultilevel"/>
    <w:tmpl w:val="A934B5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4EDC1557"/>
    <w:multiLevelType w:val="hybridMultilevel"/>
    <w:tmpl w:val="CC569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F054338"/>
    <w:multiLevelType w:val="hybridMultilevel"/>
    <w:tmpl w:val="333019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2B64701"/>
    <w:multiLevelType w:val="hybridMultilevel"/>
    <w:tmpl w:val="5A46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53342EC"/>
    <w:multiLevelType w:val="hybridMultilevel"/>
    <w:tmpl w:val="4028A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5136665"/>
    <w:multiLevelType w:val="multilevel"/>
    <w:tmpl w:val="C548EEEE"/>
    <w:lvl w:ilvl="0">
      <w:start w:val="6"/>
      <w:numFmt w:val="decimal"/>
      <w:lvlText w:val="%1"/>
      <w:lvlJc w:val="left"/>
      <w:pPr>
        <w:ind w:left="375" w:hanging="375"/>
      </w:pPr>
      <w:rPr>
        <w:rFonts w:hint="default"/>
        <w:u w:val="none"/>
      </w:rPr>
    </w:lvl>
    <w:lvl w:ilvl="1">
      <w:start w:val="1"/>
      <w:numFmt w:val="decimal"/>
      <w:lvlText w:val="%1.%2"/>
      <w:lvlJc w:val="left"/>
      <w:pPr>
        <w:ind w:left="375" w:hanging="375"/>
      </w:pPr>
      <w:rPr>
        <w:rFonts w:hint="default"/>
        <w:color w:val="385623" w:themeColor="accent6" w:themeShade="8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5" w15:restartNumberingAfterBreak="0">
    <w:nsid w:val="658437A0"/>
    <w:multiLevelType w:val="hybridMultilevel"/>
    <w:tmpl w:val="6372A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D0055D6"/>
    <w:multiLevelType w:val="hybridMultilevel"/>
    <w:tmpl w:val="0C124A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3BD7872"/>
    <w:multiLevelType w:val="hybridMultilevel"/>
    <w:tmpl w:val="5D061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3DA32B4"/>
    <w:multiLevelType w:val="hybridMultilevel"/>
    <w:tmpl w:val="B3520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AC7F31"/>
    <w:multiLevelType w:val="hybridMultilevel"/>
    <w:tmpl w:val="53A07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BB517F"/>
    <w:multiLevelType w:val="hybridMultilevel"/>
    <w:tmpl w:val="551A3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E56746A"/>
    <w:multiLevelType w:val="hybridMultilevel"/>
    <w:tmpl w:val="A7947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F1115D5"/>
    <w:multiLevelType w:val="hybridMultilevel"/>
    <w:tmpl w:val="5BB814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6"/>
  </w:num>
  <w:num w:numId="3">
    <w:abstractNumId w:val="30"/>
  </w:num>
  <w:num w:numId="4">
    <w:abstractNumId w:val="23"/>
  </w:num>
  <w:num w:numId="5">
    <w:abstractNumId w:val="35"/>
  </w:num>
  <w:num w:numId="6">
    <w:abstractNumId w:val="8"/>
  </w:num>
  <w:num w:numId="7">
    <w:abstractNumId w:val="37"/>
  </w:num>
  <w:num w:numId="8">
    <w:abstractNumId w:val="11"/>
  </w:num>
  <w:num w:numId="9">
    <w:abstractNumId w:val="26"/>
  </w:num>
  <w:num w:numId="10">
    <w:abstractNumId w:val="32"/>
  </w:num>
  <w:num w:numId="11">
    <w:abstractNumId w:val="41"/>
  </w:num>
  <w:num w:numId="12">
    <w:abstractNumId w:val="7"/>
  </w:num>
  <w:num w:numId="13">
    <w:abstractNumId w:val="40"/>
  </w:num>
  <w:num w:numId="14">
    <w:abstractNumId w:val="28"/>
  </w:num>
  <w:num w:numId="15">
    <w:abstractNumId w:val="0"/>
  </w:num>
  <w:num w:numId="16">
    <w:abstractNumId w:val="27"/>
  </w:num>
  <w:num w:numId="17">
    <w:abstractNumId w:val="33"/>
  </w:num>
  <w:num w:numId="18">
    <w:abstractNumId w:val="20"/>
  </w:num>
  <w:num w:numId="19">
    <w:abstractNumId w:val="14"/>
  </w:num>
  <w:num w:numId="20">
    <w:abstractNumId w:val="31"/>
  </w:num>
  <w:num w:numId="21">
    <w:abstractNumId w:val="2"/>
  </w:num>
  <w:num w:numId="22">
    <w:abstractNumId w:val="36"/>
  </w:num>
  <w:num w:numId="23">
    <w:abstractNumId w:val="25"/>
  </w:num>
  <w:num w:numId="24">
    <w:abstractNumId w:val="29"/>
  </w:num>
  <w:num w:numId="25">
    <w:abstractNumId w:val="9"/>
  </w:num>
  <w:num w:numId="26">
    <w:abstractNumId w:val="38"/>
  </w:num>
  <w:num w:numId="27">
    <w:abstractNumId w:val="13"/>
  </w:num>
  <w:num w:numId="28">
    <w:abstractNumId w:val="16"/>
  </w:num>
  <w:num w:numId="29">
    <w:abstractNumId w:val="5"/>
  </w:num>
  <w:num w:numId="30">
    <w:abstractNumId w:val="19"/>
  </w:num>
  <w:num w:numId="31">
    <w:abstractNumId w:val="42"/>
  </w:num>
  <w:num w:numId="32">
    <w:abstractNumId w:val="21"/>
  </w:num>
  <w:num w:numId="33">
    <w:abstractNumId w:val="1"/>
  </w:num>
  <w:num w:numId="34">
    <w:abstractNumId w:val="12"/>
  </w:num>
  <w:num w:numId="35">
    <w:abstractNumId w:val="10"/>
  </w:num>
  <w:num w:numId="36">
    <w:abstractNumId w:val="39"/>
  </w:num>
  <w:num w:numId="37">
    <w:abstractNumId w:val="4"/>
  </w:num>
  <w:num w:numId="38">
    <w:abstractNumId w:val="17"/>
  </w:num>
  <w:num w:numId="39">
    <w:abstractNumId w:val="18"/>
  </w:num>
  <w:num w:numId="40">
    <w:abstractNumId w:val="24"/>
  </w:num>
  <w:num w:numId="41">
    <w:abstractNumId w:val="34"/>
  </w:num>
  <w:num w:numId="42">
    <w:abstractNumId w:val="1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4D"/>
    <w:rsid w:val="00001512"/>
    <w:rsid w:val="00003EAF"/>
    <w:rsid w:val="00024F00"/>
    <w:rsid w:val="000334F1"/>
    <w:rsid w:val="00056D6F"/>
    <w:rsid w:val="0007200C"/>
    <w:rsid w:val="00081493"/>
    <w:rsid w:val="00090B5B"/>
    <w:rsid w:val="000B6DBA"/>
    <w:rsid w:val="000E0D5E"/>
    <w:rsid w:val="001033AA"/>
    <w:rsid w:val="00103AC4"/>
    <w:rsid w:val="00106665"/>
    <w:rsid w:val="00126619"/>
    <w:rsid w:val="00166D17"/>
    <w:rsid w:val="001B398A"/>
    <w:rsid w:val="001D1417"/>
    <w:rsid w:val="001E71A3"/>
    <w:rsid w:val="00245A22"/>
    <w:rsid w:val="00291109"/>
    <w:rsid w:val="002D3D5F"/>
    <w:rsid w:val="002F1C8F"/>
    <w:rsid w:val="00311890"/>
    <w:rsid w:val="00325EEE"/>
    <w:rsid w:val="003A0DBD"/>
    <w:rsid w:val="003B3415"/>
    <w:rsid w:val="003B7A73"/>
    <w:rsid w:val="003C313F"/>
    <w:rsid w:val="003D1251"/>
    <w:rsid w:val="003D140B"/>
    <w:rsid w:val="003E7BEE"/>
    <w:rsid w:val="003F7FD7"/>
    <w:rsid w:val="00410E9E"/>
    <w:rsid w:val="004139B7"/>
    <w:rsid w:val="00427529"/>
    <w:rsid w:val="0043243C"/>
    <w:rsid w:val="00436310"/>
    <w:rsid w:val="00475A1C"/>
    <w:rsid w:val="0048783A"/>
    <w:rsid w:val="004878D3"/>
    <w:rsid w:val="00495A08"/>
    <w:rsid w:val="00496D9D"/>
    <w:rsid w:val="004A21F0"/>
    <w:rsid w:val="004A404D"/>
    <w:rsid w:val="00545D85"/>
    <w:rsid w:val="00557FA7"/>
    <w:rsid w:val="00566C36"/>
    <w:rsid w:val="005A13D7"/>
    <w:rsid w:val="005D11CF"/>
    <w:rsid w:val="005E384C"/>
    <w:rsid w:val="005F744D"/>
    <w:rsid w:val="006114D9"/>
    <w:rsid w:val="00672F2D"/>
    <w:rsid w:val="00687F6C"/>
    <w:rsid w:val="006A4B32"/>
    <w:rsid w:val="006B5D40"/>
    <w:rsid w:val="006D5F7E"/>
    <w:rsid w:val="0075159F"/>
    <w:rsid w:val="00753B7A"/>
    <w:rsid w:val="007551DE"/>
    <w:rsid w:val="007D68E4"/>
    <w:rsid w:val="007D7EFD"/>
    <w:rsid w:val="00855E8F"/>
    <w:rsid w:val="008B45E9"/>
    <w:rsid w:val="00956A02"/>
    <w:rsid w:val="009573C4"/>
    <w:rsid w:val="00963517"/>
    <w:rsid w:val="009B5522"/>
    <w:rsid w:val="009D18D2"/>
    <w:rsid w:val="009D5EC6"/>
    <w:rsid w:val="00A04FE2"/>
    <w:rsid w:val="00A1029A"/>
    <w:rsid w:val="00A22907"/>
    <w:rsid w:val="00A24B3B"/>
    <w:rsid w:val="00A31AB2"/>
    <w:rsid w:val="00A4490D"/>
    <w:rsid w:val="00AE0EA5"/>
    <w:rsid w:val="00B03EB3"/>
    <w:rsid w:val="00B13070"/>
    <w:rsid w:val="00B26803"/>
    <w:rsid w:val="00B340BC"/>
    <w:rsid w:val="00B5217B"/>
    <w:rsid w:val="00B53B6E"/>
    <w:rsid w:val="00B940FD"/>
    <w:rsid w:val="00B958D6"/>
    <w:rsid w:val="00BA1D2D"/>
    <w:rsid w:val="00BA2CCE"/>
    <w:rsid w:val="00BA7B3E"/>
    <w:rsid w:val="00BB3C33"/>
    <w:rsid w:val="00BC46BB"/>
    <w:rsid w:val="00C0352A"/>
    <w:rsid w:val="00C70CD0"/>
    <w:rsid w:val="00C771A2"/>
    <w:rsid w:val="00CB350E"/>
    <w:rsid w:val="00CB7B28"/>
    <w:rsid w:val="00CF3D82"/>
    <w:rsid w:val="00D12C71"/>
    <w:rsid w:val="00D60FA1"/>
    <w:rsid w:val="00D64F1A"/>
    <w:rsid w:val="00D80B65"/>
    <w:rsid w:val="00D93991"/>
    <w:rsid w:val="00DC1F67"/>
    <w:rsid w:val="00E415F8"/>
    <w:rsid w:val="00E41F18"/>
    <w:rsid w:val="00E61D1E"/>
    <w:rsid w:val="00E656E5"/>
    <w:rsid w:val="00EC0881"/>
    <w:rsid w:val="00EE36B6"/>
    <w:rsid w:val="00F0140E"/>
    <w:rsid w:val="00F22856"/>
    <w:rsid w:val="00F33B8D"/>
    <w:rsid w:val="00F37287"/>
    <w:rsid w:val="00F639CB"/>
    <w:rsid w:val="00F663C5"/>
    <w:rsid w:val="00FA60E4"/>
    <w:rsid w:val="00FA625F"/>
    <w:rsid w:val="00FB2B9D"/>
    <w:rsid w:val="00FC110D"/>
    <w:rsid w:val="00FD63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79D1C-A8A6-4919-B097-F91AA3F5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4D"/>
    <w:rPr>
      <w:rFonts w:asciiTheme="minorHAnsi" w:hAnsiTheme="minorHAnsi" w:cstheme="minorBid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04D"/>
    <w:pPr>
      <w:spacing w:after="0" w:line="240" w:lineRule="auto"/>
    </w:pPr>
    <w:rPr>
      <w:rFonts w:asciiTheme="minorHAnsi" w:hAnsiTheme="minorHAnsi" w:cstheme="minorBidi"/>
      <w:b w:val="0"/>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4D"/>
    <w:pPr>
      <w:ind w:left="720"/>
      <w:contextualSpacing/>
    </w:pPr>
  </w:style>
  <w:style w:type="paragraph" w:styleId="Header">
    <w:name w:val="header"/>
    <w:basedOn w:val="Normal"/>
    <w:link w:val="HeaderChar"/>
    <w:uiPriority w:val="99"/>
    <w:unhideWhenUsed/>
    <w:rsid w:val="0005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D6F"/>
    <w:rPr>
      <w:rFonts w:asciiTheme="minorHAnsi" w:hAnsiTheme="minorHAnsi" w:cstheme="minorBidi"/>
      <w:b w:val="0"/>
      <w:sz w:val="22"/>
      <w:szCs w:val="22"/>
      <w:u w:val="none"/>
    </w:rPr>
  </w:style>
  <w:style w:type="paragraph" w:styleId="Footer">
    <w:name w:val="footer"/>
    <w:basedOn w:val="Normal"/>
    <w:link w:val="FooterChar"/>
    <w:uiPriority w:val="99"/>
    <w:unhideWhenUsed/>
    <w:rsid w:val="0005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D6F"/>
    <w:rPr>
      <w:rFonts w:asciiTheme="minorHAnsi" w:hAnsiTheme="minorHAnsi" w:cstheme="minorBidi"/>
      <w:b w:val="0"/>
      <w:sz w:val="22"/>
      <w:szCs w:val="22"/>
      <w:u w:val="none"/>
    </w:rPr>
  </w:style>
  <w:style w:type="paragraph" w:styleId="NoSpacing">
    <w:name w:val="No Spacing"/>
    <w:link w:val="NoSpacingChar"/>
    <w:uiPriority w:val="1"/>
    <w:qFormat/>
    <w:rsid w:val="006114D9"/>
    <w:pPr>
      <w:spacing w:after="0" w:line="240" w:lineRule="auto"/>
    </w:pPr>
    <w:rPr>
      <w:rFonts w:asciiTheme="minorHAnsi" w:eastAsiaTheme="minorEastAsia" w:hAnsiTheme="minorHAnsi" w:cstheme="minorBidi"/>
      <w:b w:val="0"/>
      <w:sz w:val="22"/>
      <w:szCs w:val="22"/>
      <w:u w:val="none"/>
      <w:lang w:val="en-US"/>
    </w:rPr>
  </w:style>
  <w:style w:type="character" w:customStyle="1" w:styleId="NoSpacingChar">
    <w:name w:val="No Spacing Char"/>
    <w:basedOn w:val="DefaultParagraphFont"/>
    <w:link w:val="NoSpacing"/>
    <w:uiPriority w:val="1"/>
    <w:rsid w:val="006114D9"/>
    <w:rPr>
      <w:rFonts w:asciiTheme="minorHAnsi" w:eastAsiaTheme="minorEastAsia" w:hAnsiTheme="minorHAnsi" w:cstheme="minorBidi"/>
      <w:b w:val="0"/>
      <w:sz w:val="22"/>
      <w:szCs w:val="22"/>
      <w:u w:val="none"/>
      <w:lang w:val="en-US"/>
    </w:rPr>
  </w:style>
  <w:style w:type="paragraph" w:styleId="BalloonText">
    <w:name w:val="Balloon Text"/>
    <w:basedOn w:val="Normal"/>
    <w:link w:val="BalloonTextChar"/>
    <w:uiPriority w:val="99"/>
    <w:semiHidden/>
    <w:unhideWhenUsed/>
    <w:rsid w:val="001E7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A3"/>
    <w:rPr>
      <w:rFonts w:ascii="Segoe UI" w:hAnsi="Segoe UI" w:cs="Segoe UI"/>
      <w:b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0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3331</Words>
  <Characters>18988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Employment Support:</vt:lpstr>
    </vt:vector>
  </TitlesOfParts>
  <Company>Hewlett-Packard Company</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Support:</dc:title>
  <dc:subject/>
  <dc:creator>Admin Nzdsn</dc:creator>
  <cp:keywords/>
  <dc:description/>
  <cp:lastModifiedBy>Admin Nzdsn</cp:lastModifiedBy>
  <cp:revision>2</cp:revision>
  <cp:lastPrinted>2020-06-02T21:51:00Z</cp:lastPrinted>
  <dcterms:created xsi:type="dcterms:W3CDTF">2020-06-30T01:05:00Z</dcterms:created>
  <dcterms:modified xsi:type="dcterms:W3CDTF">2020-06-30T01:05:00Z</dcterms:modified>
</cp:coreProperties>
</file>