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FB9B" w14:textId="45B47248" w:rsidR="00612FF8" w:rsidRDefault="00615959" w:rsidP="00612FF8">
      <w:pPr>
        <w:pStyle w:val="Heading1"/>
      </w:pPr>
      <w:r>
        <w:t>H</w:t>
      </w:r>
      <w:r w:rsidR="00612FF8" w:rsidRPr="001F0531">
        <w:t>ealth and disability services at Alert Level 3</w:t>
      </w:r>
      <w:bookmarkStart w:id="0" w:name="_GoBack"/>
      <w:bookmarkEnd w:id="0"/>
    </w:p>
    <w:p w14:paraId="02A6F70D" w14:textId="54CF2673" w:rsidR="00612FF8" w:rsidRDefault="002C114E" w:rsidP="00612FF8">
      <w:r>
        <w:t>20</w:t>
      </w:r>
      <w:r w:rsidR="00612FF8">
        <w:t xml:space="preserve"> April 2020</w:t>
      </w:r>
    </w:p>
    <w:p w14:paraId="7A1E9780" w14:textId="1C221103" w:rsidR="00612FF8" w:rsidRDefault="00612FF8" w:rsidP="00612FF8"/>
    <w:p w14:paraId="37DC3B4A" w14:textId="223BB1CE" w:rsidR="007873A0" w:rsidRPr="00A54DBA" w:rsidRDefault="007873A0" w:rsidP="007873A0">
      <w:pPr>
        <w:rPr>
          <w:rFonts w:cs="Segoe UI"/>
        </w:rPr>
      </w:pPr>
      <w:r w:rsidRPr="00A54DBA">
        <w:rPr>
          <w:rFonts w:cs="Segoe UI"/>
        </w:rPr>
        <w:t xml:space="preserve">This information </w:t>
      </w:r>
      <w:r w:rsidR="00A54DBA" w:rsidRPr="00A54DBA">
        <w:rPr>
          <w:rFonts w:cs="Segoe UI"/>
        </w:rPr>
        <w:t xml:space="preserve">is for health professionals. It </w:t>
      </w:r>
      <w:r w:rsidRPr="00A54DBA">
        <w:rPr>
          <w:rFonts w:cs="Segoe UI"/>
        </w:rPr>
        <w:t xml:space="preserve">has details of health and disability services at Alert Level 3. The breadth of the health system means it is a guide only. Certain providers will be able to provide more service offerings, for example, non contactless, while others may not. At all alert levels, infection prevention and control advice </w:t>
      </w:r>
      <w:proofErr w:type="gramStart"/>
      <w:r w:rsidRPr="00A54DBA">
        <w:rPr>
          <w:rFonts w:cs="Segoe UI"/>
        </w:rPr>
        <w:t>needs</w:t>
      </w:r>
      <w:proofErr w:type="gramEnd"/>
      <w:r w:rsidRPr="00A54DBA">
        <w:rPr>
          <w:rFonts w:cs="Segoe UI"/>
        </w:rPr>
        <w:t xml:space="preserve"> to be adhered to across the system. </w:t>
      </w:r>
      <w:r w:rsidR="004B006F" w:rsidRPr="00A54DBA">
        <w:rPr>
          <w:rFonts w:cs="Segoe UI"/>
        </w:rPr>
        <w:t>There must also be physical distancing, unless it would be impossible to deliver health and disability services without it.</w:t>
      </w:r>
      <w:r w:rsidR="008D43A3" w:rsidRPr="00A54DBA">
        <w:rPr>
          <w:rFonts w:cs="Segoe UI"/>
        </w:rPr>
        <w:t xml:space="preserve"> In such cases, mitigating steps (like using PPE) must be taken.</w:t>
      </w:r>
      <w:r w:rsidR="004B006F" w:rsidRPr="00A54DBA">
        <w:rPr>
          <w:rFonts w:cs="Segoe UI"/>
        </w:rPr>
        <w:t xml:space="preserve"> </w:t>
      </w:r>
      <w:r w:rsidRPr="00A54DBA">
        <w:rPr>
          <w:rFonts w:cs="Segoe UI"/>
        </w:rPr>
        <w:t xml:space="preserve">Testing for COVID-19 is done at </w:t>
      </w:r>
      <w:proofErr w:type="gramStart"/>
      <w:r w:rsidRPr="00A54DBA">
        <w:rPr>
          <w:rFonts w:cs="Segoe UI"/>
        </w:rPr>
        <w:t>community based</w:t>
      </w:r>
      <w:proofErr w:type="gramEnd"/>
      <w:r w:rsidRPr="00A54DBA">
        <w:rPr>
          <w:rFonts w:cs="Segoe UI"/>
        </w:rPr>
        <w:t xml:space="preserve"> assessment centres (CBACs), designated practices, and general practice where appropriate to do so.</w:t>
      </w:r>
    </w:p>
    <w:p w14:paraId="25A917E1" w14:textId="77777777" w:rsidR="00407233" w:rsidRDefault="00407233" w:rsidP="00407233">
      <w:pPr>
        <w:pStyle w:val="Heading2"/>
      </w:pPr>
      <w:r>
        <w:t xml:space="preserve">Hospital </w:t>
      </w:r>
    </w:p>
    <w:p w14:paraId="7229FFC6" w14:textId="7576F545" w:rsidR="00407233" w:rsidRPr="00A54DBA" w:rsidRDefault="00407233" w:rsidP="00407233">
      <w:pPr>
        <w:rPr>
          <w:rFonts w:cs="Segoe UI"/>
        </w:rPr>
      </w:pPr>
      <w:r w:rsidRPr="00A54DBA">
        <w:rPr>
          <w:rFonts w:cs="Segoe UI"/>
        </w:rPr>
        <w:t xml:space="preserve">It is important to note that the Government’s COVID-19 </w:t>
      </w:r>
      <w:r w:rsidR="00A54DBA" w:rsidRPr="00A54DBA">
        <w:rPr>
          <w:rFonts w:cs="Segoe UI"/>
        </w:rPr>
        <w:t>4-level alert system</w:t>
      </w:r>
      <w:r w:rsidRPr="00A54DBA">
        <w:rPr>
          <w:rFonts w:cs="Segoe UI"/>
        </w:rPr>
        <w:t xml:space="preserve"> and the National Hospital Response Framework alert levels serve different purposes. The Government’s COVID-19 alert </w:t>
      </w:r>
      <w:r w:rsidR="00A54DBA" w:rsidRPr="00A54DBA">
        <w:rPr>
          <w:rFonts w:cs="Segoe UI"/>
        </w:rPr>
        <w:t>system is</w:t>
      </w:r>
      <w:r w:rsidRPr="00A54DBA">
        <w:rPr>
          <w:rFonts w:cs="Segoe UI"/>
        </w:rPr>
        <w:t xml:space="preserve"> being implemented as a response to help break the chain of transmission across all New Zealanders. It is appropriate that district health boards (DHBs) continue to operate services as per the National Hospital Response Framework. This should enable DHBs to continue to deliver as much clinical care and surgery as possible, while preparing for the next level of readiness. </w:t>
      </w:r>
    </w:p>
    <w:p w14:paraId="504655CD" w14:textId="77777777" w:rsidR="00407233" w:rsidRPr="00A54DBA" w:rsidRDefault="00407233" w:rsidP="00407233">
      <w:pPr>
        <w:rPr>
          <w:rFonts w:cs="Segoe UI"/>
        </w:rPr>
      </w:pPr>
    </w:p>
    <w:p w14:paraId="35567184" w14:textId="6FAC41CA" w:rsidR="00407233" w:rsidRPr="00A54DBA" w:rsidRDefault="00407233" w:rsidP="00407233">
      <w:pPr>
        <w:rPr>
          <w:rFonts w:cs="Segoe UI"/>
        </w:rPr>
      </w:pPr>
      <w:r w:rsidRPr="00A54DBA">
        <w:rPr>
          <w:rFonts w:cs="Segoe UI"/>
        </w:rPr>
        <w:t xml:space="preserve">The </w:t>
      </w:r>
      <w:r w:rsidR="000A3DB0" w:rsidRPr="00A54DBA">
        <w:rPr>
          <w:rFonts w:cs="Segoe UI"/>
        </w:rPr>
        <w:t xml:space="preserve">National Hospital Response Framework </w:t>
      </w:r>
      <w:r w:rsidRPr="00A54DBA">
        <w:rPr>
          <w:rFonts w:cs="Segoe UI"/>
        </w:rPr>
        <w:t>sets out the matters that must be considered when making decisions to defer non-urgent treatment or to change service models to online/telephone. Decisions must consider equity and the clinical risk associated with delay or changes to treatment and take steps to mitigate harm or deterioration, for example, regularly reviewing the waiting list for planned care to assure that risks remain manageable for patients.</w:t>
      </w:r>
    </w:p>
    <w:p w14:paraId="504D98D6" w14:textId="77777777" w:rsidR="00407233" w:rsidRPr="00A54DBA" w:rsidRDefault="00407233" w:rsidP="00407233">
      <w:pPr>
        <w:rPr>
          <w:rFonts w:cs="Segoe UI"/>
        </w:rPr>
      </w:pPr>
    </w:p>
    <w:p w14:paraId="4BED394F" w14:textId="373B29E1" w:rsidR="00407233" w:rsidRPr="00A54DBA" w:rsidRDefault="00407233" w:rsidP="00407233">
      <w:pPr>
        <w:rPr>
          <w:rFonts w:cs="Segoe UI"/>
        </w:rPr>
      </w:pPr>
      <w:r w:rsidRPr="00A54DBA">
        <w:rPr>
          <w:rFonts w:cs="Segoe UI"/>
        </w:rPr>
        <w:t xml:space="preserve">Hospitals will remain open for the acute and emergency health needs of the population at all levels. Planned care, including elective surgery and radiology, will be provided in order of clinical priority. Depending on the demand for hospital services (including as a result of both COVID-19 and other non-COVID conditions and needs), some non-urgent services or treatment may be deferred in order to manage pressures. Outpatient appointments will continue dependant on demand but should be managed wherever possible via online/telephone/non-contact methods. </w:t>
      </w:r>
    </w:p>
    <w:p w14:paraId="73C2796C" w14:textId="73767FA4" w:rsidR="00A54DBA" w:rsidRPr="00FC52BF" w:rsidRDefault="00A54DBA" w:rsidP="00A54DBA">
      <w:pPr>
        <w:pStyle w:val="Heading3"/>
      </w:pPr>
      <w:r>
        <w:t>Visitors</w:t>
      </w:r>
    </w:p>
    <w:p w14:paraId="67397227" w14:textId="6DA0347B" w:rsidR="00407233" w:rsidRPr="00A54DBA" w:rsidRDefault="00407233" w:rsidP="00407233">
      <w:pPr>
        <w:rPr>
          <w:rFonts w:cs="Segoe UI"/>
        </w:rPr>
      </w:pPr>
      <w:r w:rsidRPr="00A54DBA">
        <w:rPr>
          <w:rFonts w:cs="Segoe UI"/>
        </w:rPr>
        <w:t>The National Hospital and Clinic Visitors Policy describes changes to visiting arrangements for DHB hospitals and clinics that will come into effect for each level of the National Hospital Response Framework. These changes are necessary in order to protect the safety of patients, visitors and staff. The policy states that visitors</w:t>
      </w:r>
      <w:r w:rsidR="00386131" w:rsidRPr="00A54DBA">
        <w:rPr>
          <w:rFonts w:cs="Segoe UI"/>
        </w:rPr>
        <w:t>, from their extended bubble,</w:t>
      </w:r>
      <w:r w:rsidRPr="00A54DBA">
        <w:rPr>
          <w:rFonts w:cs="Segoe UI"/>
        </w:rPr>
        <w:t xml:space="preserve"> with no suspicion of COVID-19 will be able to enter, a maximum of one visitor at a time will be allowed, for one visit per day.</w:t>
      </w:r>
      <w:r w:rsidR="00386131" w:rsidRPr="00A54DBA">
        <w:rPr>
          <w:rFonts w:cs="Segoe UI"/>
        </w:rPr>
        <w:t xml:space="preserve"> Discretion may be applied on a case by case basis.</w:t>
      </w:r>
      <w:r w:rsidRPr="00A54DBA">
        <w:rPr>
          <w:rFonts w:cs="Segoe UI"/>
        </w:rPr>
        <w:t xml:space="preserve"> Formal visiting hours are to be recognised, unless by prior arrangement with the ward. When visiting relatives in hospitals it is important to follow Alert Level 3 precautions such as ensuring hand hygiene and physical distancing of 2</w:t>
      </w:r>
      <w:r w:rsidR="00A54DBA" w:rsidRPr="00A54DBA">
        <w:rPr>
          <w:rFonts w:cs="Segoe UI"/>
        </w:rPr>
        <w:t>-</w:t>
      </w:r>
      <w:r w:rsidRPr="00A54DBA">
        <w:rPr>
          <w:rFonts w:cs="Segoe UI"/>
        </w:rPr>
        <w:t xml:space="preserve">metres. Inpatient services must record visitors to ensure contact tracing can be conducted if necessary. </w:t>
      </w:r>
      <w:r w:rsidR="003F6C8E" w:rsidRPr="00A54DBA">
        <w:rPr>
          <w:rFonts w:cs="Segoe UI"/>
        </w:rPr>
        <w:t>Expectant mothers in the birthing suite will be allowed two support partners, from the</w:t>
      </w:r>
      <w:r w:rsidR="00E8778D" w:rsidRPr="00A54DBA">
        <w:rPr>
          <w:rFonts w:cs="Segoe UI"/>
        </w:rPr>
        <w:t>ir</w:t>
      </w:r>
      <w:r w:rsidR="003F6C8E" w:rsidRPr="00A54DBA">
        <w:rPr>
          <w:rFonts w:cs="Segoe UI"/>
        </w:rPr>
        <w:t xml:space="preserve"> extended bubble.</w:t>
      </w:r>
    </w:p>
    <w:p w14:paraId="3D93475A" w14:textId="00182C3C" w:rsidR="00407233" w:rsidRDefault="00407233" w:rsidP="00407233">
      <w:pPr>
        <w:pStyle w:val="Heading2"/>
      </w:pPr>
      <w:r w:rsidRPr="00FC52BF">
        <w:lastRenderedPageBreak/>
        <w:t>Primary and community health services</w:t>
      </w:r>
    </w:p>
    <w:p w14:paraId="68CF3E96" w14:textId="77777777" w:rsidR="00407233" w:rsidRPr="00407233" w:rsidRDefault="00407233" w:rsidP="00407233">
      <w:pPr>
        <w:pStyle w:val="Heading3"/>
      </w:pPr>
      <w:r w:rsidRPr="00407233">
        <w:t>General Practice</w:t>
      </w:r>
    </w:p>
    <w:p w14:paraId="5D489048" w14:textId="058580FC" w:rsidR="00986EE3" w:rsidRPr="00A54DBA" w:rsidRDefault="00407233" w:rsidP="00407233">
      <w:pPr>
        <w:rPr>
          <w:rFonts w:cs="Segoe UI"/>
        </w:rPr>
      </w:pPr>
      <w:r w:rsidRPr="00A54DBA">
        <w:rPr>
          <w:rFonts w:cs="Segoe UI"/>
        </w:rPr>
        <w:t xml:space="preserve">General practices are open at Alert Level 3. Appointments will be conducted online/by telephone where possible, with face-to-face consultations available if required. Essential primary care continues – this includes the assessment and treatment of urgent issues, the management of long-term conditions and routine health needs (including mental health consults, prescription of contraception and other medication, treatment of common illnesses), and the referral of patients to secondary/tertiary care according to clinical need and status </w:t>
      </w:r>
    </w:p>
    <w:p w14:paraId="473D2E80" w14:textId="21A962FC" w:rsidR="00407233" w:rsidRPr="00A54DBA" w:rsidRDefault="00407233" w:rsidP="00407233">
      <w:pPr>
        <w:rPr>
          <w:rFonts w:cs="Segoe UI"/>
        </w:rPr>
      </w:pPr>
      <w:r w:rsidRPr="00A54DBA">
        <w:rPr>
          <w:rFonts w:cs="Segoe UI"/>
        </w:rPr>
        <w:t xml:space="preserve">of hospital sector. Essential preventative care and screening programmes continue, eg, influenza vaccinations and primary care-administered childhood immunisations. </w:t>
      </w:r>
    </w:p>
    <w:p w14:paraId="2553059B" w14:textId="77777777" w:rsidR="00407233" w:rsidRPr="00407233" w:rsidRDefault="00407233" w:rsidP="00407233">
      <w:pPr>
        <w:pStyle w:val="Heading3"/>
      </w:pPr>
      <w:r w:rsidRPr="00407233">
        <w:t>Community Health Services</w:t>
      </w:r>
    </w:p>
    <w:p w14:paraId="2045F6B2" w14:textId="77777777" w:rsidR="00407233" w:rsidRPr="00A54DBA" w:rsidRDefault="00407233" w:rsidP="00407233">
      <w:pPr>
        <w:rPr>
          <w:rFonts w:cs="Segoe UI"/>
        </w:rPr>
      </w:pPr>
      <w:r w:rsidRPr="00A54DBA">
        <w:rPr>
          <w:rFonts w:cs="Segoe UI"/>
        </w:rPr>
        <w:t>Pharmacies remain open. Pharmacies will use telehealth for medicine management where possible and may deliver medications for vulnerable groups.</w:t>
      </w:r>
    </w:p>
    <w:p w14:paraId="3715BDD7" w14:textId="77777777" w:rsidR="00407233" w:rsidRPr="00A54DBA" w:rsidRDefault="00407233" w:rsidP="00407233">
      <w:pPr>
        <w:rPr>
          <w:rFonts w:cs="Segoe UI"/>
        </w:rPr>
      </w:pPr>
    </w:p>
    <w:p w14:paraId="5820BD44" w14:textId="77777777" w:rsidR="00407233" w:rsidRPr="00A54DBA" w:rsidRDefault="00407233" w:rsidP="00407233">
      <w:pPr>
        <w:tabs>
          <w:tab w:val="left" w:pos="340"/>
        </w:tabs>
        <w:rPr>
          <w:rFonts w:cs="Segoe UI"/>
          <w:color w:val="000000" w:themeColor="text1"/>
        </w:rPr>
      </w:pPr>
      <w:r w:rsidRPr="00A54DBA">
        <w:rPr>
          <w:rFonts w:cs="Segoe UI"/>
        </w:rPr>
        <w:t>Midwifery appointments will be provided through variety of methods which include face-to-face and virtual appointments, where appropriate</w:t>
      </w:r>
      <w:r w:rsidRPr="00A54DBA">
        <w:rPr>
          <w:rFonts w:cs="Segoe UI"/>
          <w:color w:val="000000" w:themeColor="text1"/>
        </w:rPr>
        <w:t>. High-risk groups continue to receive scheduled face-to-face appointments. Antenatal and newborn screening programmes will continue.</w:t>
      </w:r>
    </w:p>
    <w:p w14:paraId="7B09C393" w14:textId="77777777" w:rsidR="00407233" w:rsidRPr="00A54DBA" w:rsidRDefault="00407233" w:rsidP="00407233">
      <w:pPr>
        <w:tabs>
          <w:tab w:val="left" w:pos="340"/>
        </w:tabs>
        <w:rPr>
          <w:rFonts w:cs="Segoe UI"/>
          <w:color w:val="000000" w:themeColor="text1"/>
        </w:rPr>
      </w:pPr>
    </w:p>
    <w:p w14:paraId="40A0D17E" w14:textId="79149EE8" w:rsidR="00407233" w:rsidRPr="00A54DBA" w:rsidRDefault="00407233" w:rsidP="00407233">
      <w:pPr>
        <w:tabs>
          <w:tab w:val="left" w:pos="340"/>
        </w:tabs>
        <w:rPr>
          <w:rFonts w:cs="Segoe UI"/>
        </w:rPr>
      </w:pPr>
      <w:r w:rsidRPr="00A54DBA">
        <w:rPr>
          <w:rFonts w:cs="Segoe UI"/>
        </w:rPr>
        <w:t xml:space="preserve">All </w:t>
      </w:r>
      <w:r w:rsidR="00BB61EF" w:rsidRPr="00A54DBA">
        <w:rPr>
          <w:rFonts w:cs="Segoe UI"/>
        </w:rPr>
        <w:t>non-essential and elective</w:t>
      </w:r>
      <w:r w:rsidRPr="00A54DBA">
        <w:rPr>
          <w:rFonts w:cs="Segoe UI"/>
        </w:rPr>
        <w:t xml:space="preserve"> care dentistry will remain suspended. Face-to-face appointments for urgent/emergency care may be provided so long as dental professionals can take appropriate measures to manage public health risks (eg, use of PPE relevant to the task). Aerosol treatment will be avoided where possible (eg, hand instrumentation only) and precautions taken as per </w:t>
      </w:r>
      <w:hyperlink r:id="rId11" w:history="1">
        <w:r w:rsidRPr="00A54DBA">
          <w:rPr>
            <w:rStyle w:val="Hyperlink"/>
            <w:rFonts w:cs="Segoe UI"/>
          </w:rPr>
          <w:t>guidelines</w:t>
        </w:r>
      </w:hyperlink>
      <w:r w:rsidRPr="00A54DBA">
        <w:rPr>
          <w:rFonts w:cs="Segoe UI"/>
        </w:rPr>
        <w:t>.</w:t>
      </w:r>
    </w:p>
    <w:p w14:paraId="7491A89C" w14:textId="77777777" w:rsidR="00407233" w:rsidRPr="00A54DBA" w:rsidRDefault="00407233" w:rsidP="00407233">
      <w:pPr>
        <w:tabs>
          <w:tab w:val="left" w:pos="340"/>
        </w:tabs>
        <w:rPr>
          <w:rFonts w:cs="Segoe UI"/>
          <w:color w:val="000000" w:themeColor="text1"/>
        </w:rPr>
      </w:pPr>
    </w:p>
    <w:p w14:paraId="12FE60B6" w14:textId="3E596715" w:rsidR="00407233" w:rsidRPr="00A54DBA" w:rsidRDefault="00407233" w:rsidP="00407233">
      <w:pPr>
        <w:tabs>
          <w:tab w:val="left" w:pos="340"/>
        </w:tabs>
        <w:rPr>
          <w:rFonts w:cs="Segoe UI"/>
        </w:rPr>
      </w:pPr>
      <w:r w:rsidRPr="00A54DBA">
        <w:rPr>
          <w:rFonts w:cs="Segoe UI"/>
          <w:iCs/>
        </w:rPr>
        <w:t>Community allied health professions (eg, physiotherapy, podiatry, optometry) and Well Child Tamariki Ora will continue to use v</w:t>
      </w:r>
      <w:r w:rsidRPr="00A54DBA">
        <w:rPr>
          <w:rFonts w:cs="Segoe UI"/>
        </w:rPr>
        <w:t>irtual appointments where possible.</w:t>
      </w:r>
      <w:r w:rsidRPr="00A54DBA">
        <w:rPr>
          <w:rFonts w:cs="Segoe UI"/>
          <w:iCs/>
        </w:rPr>
        <w:t xml:space="preserve"> </w:t>
      </w:r>
      <w:r w:rsidRPr="00A54DBA">
        <w:rPr>
          <w:rFonts w:cs="Segoe UI"/>
        </w:rPr>
        <w:t>Face-to-face appointments may be provided</w:t>
      </w:r>
      <w:r w:rsidR="00BB61EF" w:rsidRPr="00A54DBA">
        <w:rPr>
          <w:rFonts w:cs="Segoe UI"/>
        </w:rPr>
        <w:t xml:space="preserve"> for urgent cases</w:t>
      </w:r>
      <w:r w:rsidRPr="00A54DBA">
        <w:rPr>
          <w:rFonts w:cs="Segoe UI"/>
        </w:rPr>
        <w:t xml:space="preserve"> so long as professionals can take appropriate measures to manage public health risks (eg, use of PPE relevant to the task).</w:t>
      </w:r>
    </w:p>
    <w:p w14:paraId="3E2CEE69" w14:textId="77777777" w:rsidR="00407233" w:rsidRDefault="00407233" w:rsidP="00407233">
      <w:pPr>
        <w:pStyle w:val="Heading2"/>
      </w:pPr>
      <w:r w:rsidRPr="00FC52BF">
        <w:t xml:space="preserve">Disability and </w:t>
      </w:r>
      <w:r>
        <w:t>a</w:t>
      </w:r>
      <w:r w:rsidRPr="00FC52BF">
        <w:t xml:space="preserve">ged </w:t>
      </w:r>
      <w:r>
        <w:t>c</w:t>
      </w:r>
      <w:r w:rsidRPr="00FC52BF">
        <w:t xml:space="preserve">are </w:t>
      </w:r>
      <w:r>
        <w:t>s</w:t>
      </w:r>
      <w:r w:rsidRPr="00FC52BF">
        <w:t>ervices</w:t>
      </w:r>
    </w:p>
    <w:p w14:paraId="3E56FAC2" w14:textId="4DB48346" w:rsidR="00407233" w:rsidRPr="00407233" w:rsidRDefault="007B6A79" w:rsidP="00407233">
      <w:pPr>
        <w:pStyle w:val="Heading3"/>
      </w:pPr>
      <w:r>
        <w:t xml:space="preserve">Disability </w:t>
      </w:r>
      <w:r w:rsidR="00407233" w:rsidRPr="00407233">
        <w:t xml:space="preserve">Residential </w:t>
      </w:r>
      <w:r>
        <w:t>C</w:t>
      </w:r>
      <w:r w:rsidR="00407233" w:rsidRPr="00407233">
        <w:t xml:space="preserve">are </w:t>
      </w:r>
    </w:p>
    <w:p w14:paraId="49B7CD6F" w14:textId="4D2D4CB0" w:rsidR="00A54DBA" w:rsidRPr="00A54DBA" w:rsidRDefault="00407233" w:rsidP="00407233">
      <w:pPr>
        <w:tabs>
          <w:tab w:val="left" w:pos="340"/>
        </w:tabs>
        <w:rPr>
          <w:rFonts w:cs="Segoe UI"/>
        </w:rPr>
      </w:pPr>
      <w:r w:rsidRPr="00A54DBA">
        <w:rPr>
          <w:rFonts w:cs="Segoe UI"/>
        </w:rPr>
        <w:t xml:space="preserve">Residential care facilities operate within </w:t>
      </w:r>
      <w:r w:rsidR="00A54DBA" w:rsidRPr="00A54DBA">
        <w:rPr>
          <w:rFonts w:cs="Segoe UI"/>
        </w:rPr>
        <w:t>Alert L</w:t>
      </w:r>
      <w:r w:rsidRPr="00A54DBA">
        <w:rPr>
          <w:rFonts w:cs="Segoe UI"/>
        </w:rPr>
        <w:t xml:space="preserve">evel 3 restrictions on entry/exit so there are essential (emergency) moves only and strict visitor policies. They ensure hygiene/infection control and distancing guidance is adhered to, PPE is used for essential care services that require close physical contact, isolation areas are maintained, and mental health and wellbeing is supported. </w:t>
      </w:r>
    </w:p>
    <w:p w14:paraId="5E8BFEE4" w14:textId="77777777" w:rsidR="00A54DBA" w:rsidRPr="00A54DBA" w:rsidRDefault="00A54DBA" w:rsidP="00407233">
      <w:pPr>
        <w:tabs>
          <w:tab w:val="left" w:pos="340"/>
        </w:tabs>
        <w:rPr>
          <w:rFonts w:cs="Segoe UI"/>
        </w:rPr>
      </w:pPr>
    </w:p>
    <w:p w14:paraId="6137FB19" w14:textId="2B510726" w:rsidR="00407233" w:rsidRPr="00A54DBA" w:rsidRDefault="00407233" w:rsidP="00407233">
      <w:pPr>
        <w:tabs>
          <w:tab w:val="left" w:pos="340"/>
        </w:tabs>
        <w:rPr>
          <w:rFonts w:cs="Segoe UI"/>
        </w:rPr>
      </w:pPr>
      <w:r w:rsidRPr="00A54DBA">
        <w:rPr>
          <w:rFonts w:cs="Segoe UI"/>
        </w:rPr>
        <w:t xml:space="preserve">The facility agrees with disabled people, residents, family and providers on who is in expanded bubbles and how they will be protected. Staff movement is minimised between homes and activities are reduced to those that maintain physical distancing. </w:t>
      </w:r>
    </w:p>
    <w:p w14:paraId="3BA8C779" w14:textId="77777777" w:rsidR="00407233" w:rsidRPr="00FC52BF" w:rsidRDefault="00407233" w:rsidP="00407233">
      <w:pPr>
        <w:tabs>
          <w:tab w:val="left" w:pos="340"/>
        </w:tabs>
        <w:rPr>
          <w:rFonts w:ascii="Arial" w:hAnsi="Arial" w:cs="Arial"/>
        </w:rPr>
      </w:pPr>
    </w:p>
    <w:p w14:paraId="405037A2" w14:textId="77777777" w:rsidR="00A54DBA" w:rsidRPr="00A54DBA" w:rsidRDefault="008301D0" w:rsidP="00407233">
      <w:pPr>
        <w:tabs>
          <w:tab w:val="left" w:pos="340"/>
        </w:tabs>
        <w:rPr>
          <w:rFonts w:cs="Segoe UI"/>
        </w:rPr>
      </w:pPr>
      <w:r w:rsidRPr="00A54DBA">
        <w:rPr>
          <w:rFonts w:cs="Segoe UI"/>
          <w:b/>
        </w:rPr>
        <w:t>Disability r</w:t>
      </w:r>
      <w:r w:rsidR="00407233" w:rsidRPr="00A54DBA">
        <w:rPr>
          <w:rFonts w:cs="Segoe UI"/>
          <w:b/>
        </w:rPr>
        <w:t>esidential care visiting policy</w:t>
      </w:r>
    </w:p>
    <w:p w14:paraId="395F1978" w14:textId="77777777" w:rsidR="00A54DBA" w:rsidRPr="00A54DBA" w:rsidRDefault="00407233" w:rsidP="00407233">
      <w:pPr>
        <w:tabs>
          <w:tab w:val="left" w:pos="340"/>
        </w:tabs>
        <w:rPr>
          <w:rFonts w:cs="Segoe UI"/>
        </w:rPr>
      </w:pPr>
      <w:r w:rsidRPr="00A54DBA">
        <w:rPr>
          <w:rFonts w:cs="Segoe UI"/>
        </w:rPr>
        <w:t xml:space="preserve">Controlled visits with agreed and named family and whānau and close friends are allowed as part of the extended bubble. This is an important mechanism to ensure people’s wellbeing and safety. </w:t>
      </w:r>
      <w:r w:rsidR="00D733FC" w:rsidRPr="00A54DBA">
        <w:rPr>
          <w:rFonts w:cs="Segoe UI"/>
        </w:rPr>
        <w:t xml:space="preserve">This will be managed by the </w:t>
      </w:r>
      <w:proofErr w:type="gramStart"/>
      <w:r w:rsidR="00D733FC" w:rsidRPr="00A54DBA">
        <w:rPr>
          <w:rFonts w:cs="Segoe UI"/>
        </w:rPr>
        <w:t>provider</w:t>
      </w:r>
      <w:proofErr w:type="gramEnd"/>
      <w:r w:rsidR="00D733FC" w:rsidRPr="00A54DBA">
        <w:rPr>
          <w:rFonts w:cs="Segoe UI"/>
        </w:rPr>
        <w:t xml:space="preserve"> so the extended bubble does not get too big or mix with others bubbles. </w:t>
      </w:r>
    </w:p>
    <w:p w14:paraId="6D51410F" w14:textId="77777777" w:rsidR="00A54DBA" w:rsidRPr="00A54DBA" w:rsidRDefault="00A54DBA" w:rsidP="00407233">
      <w:pPr>
        <w:tabs>
          <w:tab w:val="left" w:pos="340"/>
        </w:tabs>
        <w:rPr>
          <w:rFonts w:cs="Segoe UI"/>
        </w:rPr>
      </w:pPr>
    </w:p>
    <w:p w14:paraId="54F93B2E" w14:textId="4F3A9F19" w:rsidR="00407233" w:rsidRPr="00A54DBA" w:rsidRDefault="00407233" w:rsidP="00407233">
      <w:pPr>
        <w:tabs>
          <w:tab w:val="left" w:pos="340"/>
        </w:tabs>
        <w:rPr>
          <w:rFonts w:cs="Segoe UI"/>
        </w:rPr>
      </w:pPr>
      <w:r w:rsidRPr="00A54DBA">
        <w:rPr>
          <w:rFonts w:cs="Segoe UI"/>
        </w:rPr>
        <w:t xml:space="preserve">Visitors with known COVID-19 contact or symptoms will not be granted access. All essential visitors who aren’t part of the </w:t>
      </w:r>
      <w:r w:rsidR="00B26FFC" w:rsidRPr="00A54DBA">
        <w:rPr>
          <w:rFonts w:cs="Segoe UI"/>
        </w:rPr>
        <w:t xml:space="preserve">extended </w:t>
      </w:r>
      <w:r w:rsidRPr="00A54DBA">
        <w:rPr>
          <w:rFonts w:cs="Segoe UI"/>
        </w:rPr>
        <w:t xml:space="preserve">bubble, such as essential carers and tradespeople, must follow </w:t>
      </w:r>
      <w:r w:rsidR="00A54DBA">
        <w:rPr>
          <w:rFonts w:cs="Segoe UI"/>
        </w:rPr>
        <w:t xml:space="preserve">Alert </w:t>
      </w:r>
      <w:r w:rsidRPr="00A54DBA">
        <w:rPr>
          <w:rFonts w:cs="Segoe UI"/>
        </w:rPr>
        <w:t xml:space="preserve">Level 3 </w:t>
      </w:r>
      <w:r w:rsidRPr="00A54DBA">
        <w:rPr>
          <w:rFonts w:cs="Segoe UI"/>
        </w:rPr>
        <w:lastRenderedPageBreak/>
        <w:t xml:space="preserve">precautions. A maximum of one visitor at any one time may visit the disabled person in their home. All visitors are to be recorded to aid with contact tracing. No non-essential visitors are allowed at </w:t>
      </w:r>
      <w:r w:rsidR="00A54DBA">
        <w:rPr>
          <w:rFonts w:cs="Segoe UI"/>
        </w:rPr>
        <w:t xml:space="preserve">Alert </w:t>
      </w:r>
      <w:r w:rsidRPr="00A54DBA">
        <w:rPr>
          <w:rFonts w:cs="Segoe UI"/>
        </w:rPr>
        <w:t>Level 3.</w:t>
      </w:r>
    </w:p>
    <w:p w14:paraId="306C3E2C" w14:textId="745E7F9F" w:rsidR="007B6A79" w:rsidRPr="00407233" w:rsidRDefault="007B6A79" w:rsidP="007B6A79">
      <w:pPr>
        <w:pStyle w:val="Heading3"/>
      </w:pPr>
      <w:r>
        <w:t xml:space="preserve">Aged </w:t>
      </w:r>
      <w:r w:rsidRPr="00407233">
        <w:t xml:space="preserve">Residential </w:t>
      </w:r>
      <w:r>
        <w:t>C</w:t>
      </w:r>
      <w:r w:rsidRPr="00407233">
        <w:t xml:space="preserve">are </w:t>
      </w:r>
    </w:p>
    <w:p w14:paraId="2DB224FE" w14:textId="722028C0" w:rsidR="00A54DBA" w:rsidRDefault="007B6A79" w:rsidP="007B6A79">
      <w:pPr>
        <w:tabs>
          <w:tab w:val="left" w:pos="340"/>
        </w:tabs>
        <w:rPr>
          <w:rFonts w:cs="Segoe UI"/>
        </w:rPr>
      </w:pPr>
      <w:r w:rsidRPr="00A54DBA">
        <w:rPr>
          <w:rFonts w:cs="Segoe UI"/>
        </w:rPr>
        <w:t xml:space="preserve">Aged residential care facilities operate within </w:t>
      </w:r>
      <w:r w:rsidR="00A54DBA">
        <w:rPr>
          <w:rFonts w:cs="Segoe UI"/>
        </w:rPr>
        <w:t>Alert L</w:t>
      </w:r>
      <w:r w:rsidRPr="00A54DBA">
        <w:rPr>
          <w:rFonts w:cs="Segoe UI"/>
        </w:rPr>
        <w:t xml:space="preserve">evel 3 restrictions on entry/exit so there are essential (emergency) moves only and strict visitor policies. They ensure hygiene/infection control and distancing guidance is adhered to, PPE is used for essential care services that require close physical contact, isolation areas are maintained, and mental health and wellbeing is supported. </w:t>
      </w:r>
    </w:p>
    <w:p w14:paraId="49D031F6" w14:textId="77777777" w:rsidR="00A54DBA" w:rsidRDefault="00A54DBA" w:rsidP="007B6A79">
      <w:pPr>
        <w:tabs>
          <w:tab w:val="left" w:pos="340"/>
        </w:tabs>
        <w:rPr>
          <w:rFonts w:cs="Segoe UI"/>
        </w:rPr>
      </w:pPr>
    </w:p>
    <w:p w14:paraId="6FA3C71B" w14:textId="2641EA8F" w:rsidR="007B6A79" w:rsidRPr="00A54DBA" w:rsidRDefault="007B6A79" w:rsidP="007B6A79">
      <w:pPr>
        <w:tabs>
          <w:tab w:val="left" w:pos="340"/>
        </w:tabs>
        <w:rPr>
          <w:rFonts w:cs="Segoe UI"/>
        </w:rPr>
      </w:pPr>
      <w:r w:rsidRPr="00A54DBA">
        <w:rPr>
          <w:rFonts w:cs="Segoe UI"/>
        </w:rPr>
        <w:t>In aged residential care, planned respite services are suspended, while urgent respite care is provided. Options are being developed to further reduce the risk of staff members introducing COVID-19 into aged care settings and tightening up measures to protect residents, staff and families where there is infection such as daily staff health checks and alternate accommodation options for staff.</w:t>
      </w:r>
    </w:p>
    <w:p w14:paraId="77DD96EA" w14:textId="77777777" w:rsidR="007B6A79" w:rsidRPr="00A54DBA" w:rsidRDefault="007B6A79" w:rsidP="007B6A79">
      <w:pPr>
        <w:tabs>
          <w:tab w:val="left" w:pos="340"/>
        </w:tabs>
        <w:rPr>
          <w:rFonts w:cs="Segoe UI"/>
        </w:rPr>
      </w:pPr>
    </w:p>
    <w:p w14:paraId="7BCBFB38" w14:textId="77777777" w:rsidR="00A54DBA" w:rsidRDefault="00407233" w:rsidP="007B6A79">
      <w:pPr>
        <w:tabs>
          <w:tab w:val="left" w:pos="340"/>
        </w:tabs>
        <w:rPr>
          <w:rFonts w:cs="Segoe UI"/>
          <w:b/>
        </w:rPr>
      </w:pPr>
      <w:r w:rsidRPr="00A54DBA">
        <w:rPr>
          <w:rFonts w:cs="Segoe UI"/>
          <w:b/>
        </w:rPr>
        <w:t>Aged residential care</w:t>
      </w:r>
      <w:r w:rsidR="008301D0" w:rsidRPr="00A54DBA">
        <w:rPr>
          <w:rFonts w:cs="Segoe UI"/>
          <w:b/>
        </w:rPr>
        <w:t xml:space="preserve"> visitor policy</w:t>
      </w:r>
    </w:p>
    <w:p w14:paraId="2063A1FF" w14:textId="219C1485" w:rsidR="00407233" w:rsidRPr="00A54DBA" w:rsidRDefault="00407233" w:rsidP="007B6A79">
      <w:pPr>
        <w:tabs>
          <w:tab w:val="left" w:pos="340"/>
        </w:tabs>
        <w:rPr>
          <w:rFonts w:cs="Segoe UI"/>
        </w:rPr>
      </w:pPr>
      <w:r w:rsidRPr="00A54DBA">
        <w:rPr>
          <w:rFonts w:cs="Segoe UI"/>
        </w:rPr>
        <w:t xml:space="preserve">Family visits only for palliative care residents – on a case-by-case basis, subject to public health direction and provider assessment. </w:t>
      </w:r>
      <w:r w:rsidR="00BF228F" w:rsidRPr="00A54DBA">
        <w:rPr>
          <w:rFonts w:cs="Segoe UI"/>
        </w:rPr>
        <w:t>There will be n</w:t>
      </w:r>
      <w:r w:rsidR="008301D0" w:rsidRPr="00A54DBA">
        <w:rPr>
          <w:rFonts w:cs="Segoe UI"/>
        </w:rPr>
        <w:t xml:space="preserve">o general family visits. </w:t>
      </w:r>
    </w:p>
    <w:p w14:paraId="277688CB" w14:textId="77777777" w:rsidR="00407233" w:rsidRPr="00407233" w:rsidRDefault="00407233" w:rsidP="00407233">
      <w:pPr>
        <w:pStyle w:val="Heading3"/>
      </w:pPr>
      <w:r w:rsidRPr="00407233">
        <w:t>Home-based support</w:t>
      </w:r>
    </w:p>
    <w:p w14:paraId="217E6FED" w14:textId="77777777" w:rsidR="00A54DBA" w:rsidRDefault="00407233" w:rsidP="00407233">
      <w:pPr>
        <w:tabs>
          <w:tab w:val="left" w:pos="340"/>
        </w:tabs>
        <w:rPr>
          <w:rFonts w:cs="Segoe UI"/>
        </w:rPr>
      </w:pPr>
      <w:r w:rsidRPr="00A54DBA">
        <w:rPr>
          <w:rFonts w:cs="Segoe UI"/>
        </w:rPr>
        <w:t xml:space="preserve">Home-based essential personal care services are provided as normal (eg, toileting, washing, feeding) under Alert Level 3. </w:t>
      </w:r>
    </w:p>
    <w:p w14:paraId="1CC07045" w14:textId="77777777" w:rsidR="00A54DBA" w:rsidRDefault="00A54DBA" w:rsidP="00407233">
      <w:pPr>
        <w:tabs>
          <w:tab w:val="left" w:pos="340"/>
        </w:tabs>
        <w:rPr>
          <w:rFonts w:cs="Segoe UI"/>
        </w:rPr>
      </w:pPr>
    </w:p>
    <w:p w14:paraId="5AB4FAA1" w14:textId="0A98A361" w:rsidR="00407233" w:rsidRPr="00A54DBA" w:rsidRDefault="00407233" w:rsidP="00407233">
      <w:pPr>
        <w:tabs>
          <w:tab w:val="left" w:pos="340"/>
        </w:tabs>
        <w:rPr>
          <w:rFonts w:cs="Segoe UI"/>
        </w:rPr>
      </w:pPr>
      <w:r w:rsidRPr="00A54DBA">
        <w:rPr>
          <w:rFonts w:cs="Segoe UI"/>
        </w:rPr>
        <w:t xml:space="preserve">Home management such as house cleaning may be reduced depending on individual circumstances (where not providing this service would place a client at risk and the services can be provided safely). The substitution of other workers where the usual workforce is unavailable means continuity of care worker(s) may not be possible. There should be agreement between disabled people, family and whānau and providers on who is in the </w:t>
      </w:r>
      <w:r w:rsidR="008D43A3" w:rsidRPr="00A54DBA">
        <w:rPr>
          <w:rFonts w:cs="Segoe UI"/>
        </w:rPr>
        <w:t xml:space="preserve">extended </w:t>
      </w:r>
      <w:r w:rsidRPr="00A54DBA">
        <w:rPr>
          <w:rFonts w:cs="Segoe UI"/>
        </w:rPr>
        <w:t xml:space="preserve">bubble and how the bubble will be protected. Ensure hygiene/infection control and distancing guidance is adhered to, such as using PPE for essential care services that require close physical contact and minimising staff movement between homes. </w:t>
      </w:r>
      <w:bookmarkStart w:id="1" w:name="_Hlk38031893"/>
      <w:r w:rsidR="007B6A79" w:rsidRPr="00A54DBA">
        <w:rPr>
          <w:rFonts w:cs="Segoe UI"/>
        </w:rPr>
        <w:t xml:space="preserve">Staff movement is minimised between homes and activities are reduced to those that maintain physical distancing. </w:t>
      </w:r>
      <w:r w:rsidRPr="00A54DBA">
        <w:rPr>
          <w:rFonts w:cs="Segoe UI"/>
        </w:rPr>
        <w:t xml:space="preserve">Urgent in-home equipment </w:t>
      </w:r>
      <w:bookmarkEnd w:id="1"/>
      <w:r w:rsidRPr="00A54DBA">
        <w:rPr>
          <w:rFonts w:cs="Segoe UI"/>
        </w:rPr>
        <w:t xml:space="preserve">will also be provided where needed. </w:t>
      </w:r>
    </w:p>
    <w:p w14:paraId="5405CDDF" w14:textId="77777777" w:rsidR="00407233" w:rsidRDefault="00407233" w:rsidP="00407233">
      <w:pPr>
        <w:pStyle w:val="Heading2"/>
      </w:pPr>
      <w:r w:rsidRPr="00FC52BF">
        <w:t xml:space="preserve">Mental </w:t>
      </w:r>
      <w:r>
        <w:t>h</w:t>
      </w:r>
      <w:r w:rsidRPr="00FC52BF">
        <w:t xml:space="preserve">ealth and </w:t>
      </w:r>
      <w:r>
        <w:t>a</w:t>
      </w:r>
      <w:r w:rsidRPr="00FC52BF">
        <w:t xml:space="preserve">ddiction </w:t>
      </w:r>
      <w:r>
        <w:t>s</w:t>
      </w:r>
      <w:r w:rsidRPr="00FC52BF">
        <w:t>ervices</w:t>
      </w:r>
    </w:p>
    <w:p w14:paraId="0C432E26" w14:textId="77777777" w:rsidR="00407233" w:rsidRPr="00A54DBA" w:rsidRDefault="00407233" w:rsidP="00407233">
      <w:pPr>
        <w:tabs>
          <w:tab w:val="left" w:pos="340"/>
        </w:tabs>
        <w:rPr>
          <w:rFonts w:cs="Segoe UI"/>
          <w:color w:val="000000" w:themeColor="text1"/>
        </w:rPr>
      </w:pPr>
      <w:r w:rsidRPr="00A54DBA">
        <w:rPr>
          <w:rFonts w:cs="Segoe UI"/>
          <w:color w:val="000000" w:themeColor="text1"/>
        </w:rPr>
        <w:t>Mental health and addiction inpatient and residential services continue to operate under Alert Level 3, however overall bed capacity may be reduced to enable good infection prevention measures or to enable consolidation of clinical staff. Clinical pathways to care must exist to enable access to essential care for those that need it. Some inpatients may be considered high-risk and therefore may have additional steps taken to reduce movement within/outside the facility. Inpatient units must have separate COVID-19 positive/suspected and non-COVID-19 areas for patient care with no staff crossover between these areas. Any in-patient trips will be postponed where they do not meet restrictions on travel/gatherings for Alert Levels 3 and 4.</w:t>
      </w:r>
    </w:p>
    <w:p w14:paraId="084E1630" w14:textId="77777777" w:rsidR="00407233" w:rsidRPr="00A54DBA" w:rsidRDefault="00407233" w:rsidP="00407233">
      <w:pPr>
        <w:tabs>
          <w:tab w:val="left" w:pos="340"/>
        </w:tabs>
        <w:rPr>
          <w:rFonts w:cs="Segoe UI"/>
          <w:color w:val="000000" w:themeColor="text1"/>
        </w:rPr>
      </w:pPr>
    </w:p>
    <w:p w14:paraId="36B5F3A0" w14:textId="77777777" w:rsidR="00407233" w:rsidRPr="00A54DBA" w:rsidRDefault="00407233" w:rsidP="00407233">
      <w:pPr>
        <w:tabs>
          <w:tab w:val="left" w:pos="340"/>
        </w:tabs>
        <w:rPr>
          <w:rFonts w:cs="Segoe UI"/>
          <w:color w:val="000000" w:themeColor="text1"/>
        </w:rPr>
      </w:pPr>
      <w:r w:rsidRPr="00A54DBA">
        <w:rPr>
          <w:rFonts w:cs="Segoe UI"/>
          <w:color w:val="000000" w:themeColor="text1"/>
        </w:rPr>
        <w:t>The visiting policy is as per the intent in the general guidance for hospitals during Alert Levels 3 and 4, with accompanying physical distancing and infection control protocols. Where visitors are permitted, inpatient services must record visitors to ensure contact tracing can be conducted if necessary.</w:t>
      </w:r>
    </w:p>
    <w:p w14:paraId="7D4FFFD6" w14:textId="77777777" w:rsidR="00407233" w:rsidRPr="00A54DBA" w:rsidRDefault="00407233" w:rsidP="00407233">
      <w:pPr>
        <w:tabs>
          <w:tab w:val="left" w:pos="340"/>
        </w:tabs>
        <w:rPr>
          <w:rFonts w:cs="Segoe UI"/>
          <w:color w:val="000000" w:themeColor="text1"/>
        </w:rPr>
      </w:pPr>
    </w:p>
    <w:p w14:paraId="0116B639" w14:textId="77777777" w:rsidR="00407233" w:rsidRPr="00A54DBA" w:rsidRDefault="00407233" w:rsidP="00407233">
      <w:pPr>
        <w:tabs>
          <w:tab w:val="left" w:pos="340"/>
        </w:tabs>
        <w:rPr>
          <w:rFonts w:cs="Segoe UI"/>
        </w:rPr>
      </w:pPr>
      <w:r w:rsidRPr="00A54DBA">
        <w:rPr>
          <w:rFonts w:cs="Segoe UI"/>
          <w:color w:val="000000" w:themeColor="text1"/>
        </w:rPr>
        <w:t>Community mental health services continue to use v</w:t>
      </w:r>
      <w:r w:rsidRPr="00A54DBA">
        <w:rPr>
          <w:rFonts w:cs="Segoe UI"/>
        </w:rPr>
        <w:t xml:space="preserve">irtual/telephone appointments where possible. Face-to-face appointments may be provided so long as the health professionals and support staff can take appropriate measures to manage public health risks as per Ministry guidance. Urgent/crisis services will </w:t>
      </w:r>
      <w:r w:rsidRPr="00A54DBA">
        <w:rPr>
          <w:rFonts w:cs="Segoe UI"/>
        </w:rPr>
        <w:lastRenderedPageBreak/>
        <w:t>operate as usual, with appropriate measures to manage public health risks as per Ministry guidance for Alert Levels 3 and 4</w:t>
      </w:r>
    </w:p>
    <w:p w14:paraId="5F595763" w14:textId="77777777" w:rsidR="00407233" w:rsidRPr="00A54DBA" w:rsidRDefault="00407233" w:rsidP="00407233">
      <w:pPr>
        <w:tabs>
          <w:tab w:val="left" w:pos="340"/>
        </w:tabs>
        <w:rPr>
          <w:rFonts w:cs="Segoe UI"/>
        </w:rPr>
      </w:pPr>
    </w:p>
    <w:p w14:paraId="017A5107" w14:textId="77777777" w:rsidR="00407233" w:rsidRPr="00A54DBA" w:rsidRDefault="00407233" w:rsidP="00407233">
      <w:pPr>
        <w:rPr>
          <w:rFonts w:cs="Segoe UI"/>
        </w:rPr>
      </w:pPr>
      <w:r w:rsidRPr="00A54DBA">
        <w:rPr>
          <w:rFonts w:cs="Segoe UI"/>
        </w:rPr>
        <w:t>There are a range of welfare, mental health and wellbeing programmes underway to minimise harm to the community as part of the Governments psychosocial response.</w:t>
      </w:r>
    </w:p>
    <w:p w14:paraId="4C83333D" w14:textId="77777777" w:rsidR="00407233" w:rsidRPr="00FC52BF" w:rsidRDefault="00407233" w:rsidP="00407233">
      <w:pPr>
        <w:rPr>
          <w:rFonts w:ascii="Arial" w:hAnsi="Arial" w:cs="Arial"/>
        </w:rPr>
      </w:pPr>
    </w:p>
    <w:p w14:paraId="2DB22102" w14:textId="77777777" w:rsidR="00407233" w:rsidRPr="00612FF8" w:rsidRDefault="00407233" w:rsidP="00612FF8"/>
    <w:sectPr w:rsidR="00407233" w:rsidRPr="00612FF8" w:rsidSect="000030EA">
      <w:headerReference w:type="default" r:id="rId12"/>
      <w:footerReference w:type="even" r:id="rId13"/>
      <w:pgSz w:w="11907" w:h="16834" w:code="9"/>
      <w:pgMar w:top="1434" w:right="720"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0ECD" w14:textId="77777777" w:rsidR="00DF1788" w:rsidRDefault="00DF1788">
      <w:r>
        <w:separator/>
      </w:r>
    </w:p>
    <w:p w14:paraId="3ED8C71C" w14:textId="77777777" w:rsidR="00DF1788" w:rsidRDefault="00DF1788"/>
  </w:endnote>
  <w:endnote w:type="continuationSeparator" w:id="0">
    <w:p w14:paraId="50EFC4C0" w14:textId="77777777" w:rsidR="00DF1788" w:rsidRDefault="00DF1788">
      <w:r>
        <w:continuationSeparator/>
      </w:r>
    </w:p>
    <w:p w14:paraId="195BC881" w14:textId="77777777" w:rsidR="00DF1788" w:rsidRDefault="00DF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F1788" w14:paraId="71FE0E4D" w14:textId="77777777" w:rsidTr="00D662F8">
      <w:trPr>
        <w:cantSplit/>
      </w:trPr>
      <w:tc>
        <w:tcPr>
          <w:tcW w:w="675" w:type="dxa"/>
          <w:vAlign w:val="center"/>
        </w:tcPr>
        <w:p w14:paraId="141C1DDC" w14:textId="77777777" w:rsidR="00DF1788" w:rsidRPr="00931466" w:rsidRDefault="00DF178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DF1788" w:rsidRDefault="00DF1788" w:rsidP="000D58DD">
          <w:pPr>
            <w:pStyle w:val="RectoFooter"/>
            <w:jc w:val="left"/>
          </w:pPr>
          <w:r>
            <w:t>[TITLE]</w:t>
          </w:r>
        </w:p>
      </w:tc>
    </w:tr>
  </w:tbl>
  <w:p w14:paraId="3A778713" w14:textId="77777777" w:rsidR="00DF1788" w:rsidRPr="00571223" w:rsidRDefault="00DF1788"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B48A" w14:textId="77777777" w:rsidR="00DF1788" w:rsidRPr="00A26E6B" w:rsidRDefault="00DF1788" w:rsidP="00A26E6B"/>
  </w:footnote>
  <w:footnote w:type="continuationSeparator" w:id="0">
    <w:p w14:paraId="44FC1D95" w14:textId="77777777" w:rsidR="00DF1788" w:rsidRDefault="00DF1788">
      <w:r>
        <w:continuationSeparator/>
      </w:r>
    </w:p>
    <w:p w14:paraId="1707A86F" w14:textId="77777777" w:rsidR="00DF1788" w:rsidRDefault="00DF1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EE2" w14:textId="77777777" w:rsidR="00DF1788" w:rsidRDefault="00DF1788">
    <w:r>
      <w:rPr>
        <w:noProof/>
        <w:lang w:eastAsia="en-NZ"/>
      </w:rPr>
      <w:drawing>
        <wp:anchor distT="0" distB="0" distL="114300" distR="114300" simplePos="0" relativeHeight="251658240" behindDoc="0" locked="0" layoutInCell="1" allowOverlap="1" wp14:anchorId="3FE0908D" wp14:editId="4B9E900C">
          <wp:simplePos x="0" y="0"/>
          <wp:positionH relativeFrom="page">
            <wp:posOffset>-60211</wp:posOffset>
          </wp:positionH>
          <wp:positionV relativeFrom="page">
            <wp:posOffset>0</wp:posOffset>
          </wp:positionV>
          <wp:extent cx="7596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0EA"/>
    <w:rsid w:val="00005BB5"/>
    <w:rsid w:val="00024E1D"/>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3DB0"/>
    <w:rsid w:val="000A41ED"/>
    <w:rsid w:val="000B0730"/>
    <w:rsid w:val="000D01AB"/>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114E"/>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86131"/>
    <w:rsid w:val="003A0B69"/>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6C8E"/>
    <w:rsid w:val="003F7013"/>
    <w:rsid w:val="0040240C"/>
    <w:rsid w:val="004029B8"/>
    <w:rsid w:val="00407233"/>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006F"/>
    <w:rsid w:val="004B48C7"/>
    <w:rsid w:val="004C2E6A"/>
    <w:rsid w:val="004C64B8"/>
    <w:rsid w:val="004D2A2D"/>
    <w:rsid w:val="004D479F"/>
    <w:rsid w:val="004D6689"/>
    <w:rsid w:val="004E0D32"/>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12FF8"/>
    <w:rsid w:val="00615959"/>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3EE"/>
    <w:rsid w:val="006B0E73"/>
    <w:rsid w:val="006B1E3D"/>
    <w:rsid w:val="006B4A4D"/>
    <w:rsid w:val="006B5695"/>
    <w:rsid w:val="006B7B2E"/>
    <w:rsid w:val="006C78EB"/>
    <w:rsid w:val="006C7A6B"/>
    <w:rsid w:val="006D1660"/>
    <w:rsid w:val="006D63E5"/>
    <w:rsid w:val="006E1753"/>
    <w:rsid w:val="006E3911"/>
    <w:rsid w:val="006F1B67"/>
    <w:rsid w:val="006F48CB"/>
    <w:rsid w:val="006F4D9C"/>
    <w:rsid w:val="0070091D"/>
    <w:rsid w:val="00702854"/>
    <w:rsid w:val="00702E49"/>
    <w:rsid w:val="0071741C"/>
    <w:rsid w:val="00742B90"/>
    <w:rsid w:val="0074434D"/>
    <w:rsid w:val="007570C4"/>
    <w:rsid w:val="007605B8"/>
    <w:rsid w:val="00771B1E"/>
    <w:rsid w:val="00773C95"/>
    <w:rsid w:val="00776C8A"/>
    <w:rsid w:val="0078171E"/>
    <w:rsid w:val="0078658E"/>
    <w:rsid w:val="007873A0"/>
    <w:rsid w:val="007920E2"/>
    <w:rsid w:val="0079566E"/>
    <w:rsid w:val="00795B34"/>
    <w:rsid w:val="007A067F"/>
    <w:rsid w:val="007B1770"/>
    <w:rsid w:val="007B4D3E"/>
    <w:rsid w:val="007B6A79"/>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1D0"/>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43A3"/>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4647"/>
    <w:rsid w:val="00947A1E"/>
    <w:rsid w:val="0095565C"/>
    <w:rsid w:val="00964AB6"/>
    <w:rsid w:val="00966F9A"/>
    <w:rsid w:val="00977B8A"/>
    <w:rsid w:val="00982971"/>
    <w:rsid w:val="009845AD"/>
    <w:rsid w:val="00984835"/>
    <w:rsid w:val="00986EE3"/>
    <w:rsid w:val="009933EF"/>
    <w:rsid w:val="00995BA0"/>
    <w:rsid w:val="009A418B"/>
    <w:rsid w:val="009A426F"/>
    <w:rsid w:val="009A42D5"/>
    <w:rsid w:val="009A4473"/>
    <w:rsid w:val="009B05C9"/>
    <w:rsid w:val="009B286C"/>
    <w:rsid w:val="009C151C"/>
    <w:rsid w:val="009C440A"/>
    <w:rsid w:val="009D5125"/>
    <w:rsid w:val="009D60B8"/>
    <w:rsid w:val="009D7D4B"/>
    <w:rsid w:val="009E3567"/>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4DBA"/>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26FFC"/>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B61EF"/>
    <w:rsid w:val="00BC03EE"/>
    <w:rsid w:val="00BC59F1"/>
    <w:rsid w:val="00BF228F"/>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733FC"/>
    <w:rsid w:val="00D81248"/>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D7EEB"/>
    <w:rsid w:val="00DE3B20"/>
    <w:rsid w:val="00DE6C94"/>
    <w:rsid w:val="00DE6FD7"/>
    <w:rsid w:val="00DF1788"/>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8778D"/>
    <w:rsid w:val="00EA796A"/>
    <w:rsid w:val="00EB1856"/>
    <w:rsid w:val="00EC50CE"/>
    <w:rsid w:val="00EC5B34"/>
    <w:rsid w:val="00ED021E"/>
    <w:rsid w:val="00ED323C"/>
    <w:rsid w:val="00ED7B80"/>
    <w:rsid w:val="00EE2D5C"/>
    <w:rsid w:val="00EE4ADE"/>
    <w:rsid w:val="00EE4DE8"/>
    <w:rsid w:val="00EE5CB7"/>
    <w:rsid w:val="00F024FE"/>
    <w:rsid w:val="00F05AD4"/>
    <w:rsid w:val="00F07D03"/>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DFC8E6"/>
  <w15:docId w15:val="{9AA75DB9-299D-4361-9041-43FACBC8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581286"/>
    <w:pPr>
      <w:keepNext/>
      <w:spacing w:before="240" w:after="120"/>
      <w:outlineLvl w:val="2"/>
    </w:pPr>
    <w:rPr>
      <w:color w:val="F3920A"/>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581286"/>
    <w:rPr>
      <w:rFonts w:ascii="Segoe UI" w:hAnsi="Segoe UI"/>
      <w:color w:val="F3920A"/>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4B006F"/>
    <w:rPr>
      <w:sz w:val="16"/>
      <w:szCs w:val="16"/>
    </w:rPr>
  </w:style>
  <w:style w:type="paragraph" w:styleId="CommentText">
    <w:name w:val="annotation text"/>
    <w:basedOn w:val="Normal"/>
    <w:link w:val="CommentTextChar"/>
    <w:uiPriority w:val="99"/>
    <w:semiHidden/>
    <w:unhideWhenUsed/>
    <w:rsid w:val="004B006F"/>
    <w:rPr>
      <w:sz w:val="20"/>
    </w:rPr>
  </w:style>
  <w:style w:type="character" w:customStyle="1" w:styleId="CommentTextChar">
    <w:name w:val="Comment Text Char"/>
    <w:basedOn w:val="DefaultParagraphFont"/>
    <w:link w:val="CommentText"/>
    <w:uiPriority w:val="99"/>
    <w:semiHidden/>
    <w:rsid w:val="004B006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4B006F"/>
    <w:rPr>
      <w:b/>
      <w:bCs/>
    </w:rPr>
  </w:style>
  <w:style w:type="character" w:customStyle="1" w:styleId="CommentSubjectChar">
    <w:name w:val="Comment Subject Char"/>
    <w:basedOn w:val="CommentTextChar"/>
    <w:link w:val="CommentSubject"/>
    <w:uiPriority w:val="99"/>
    <w:semiHidden/>
    <w:rsid w:val="004B006F"/>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nz.org.nz/assets/Uploads/COVID/Guidelines-at-Alert-Level-4-updated-31Mar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7BEF33651A141ABFC35944E5802F2" ma:contentTypeVersion="10" ma:contentTypeDescription="Create a new document." ma:contentTypeScope="" ma:versionID="931e6a341590733cf2d2024d37ac8a5f">
  <xsd:schema xmlns:xsd="http://www.w3.org/2001/XMLSchema" xmlns:xs="http://www.w3.org/2001/XMLSchema" xmlns:p="http://schemas.microsoft.com/office/2006/metadata/properties" xmlns:ns3="bbdb2c1b-35d0-4fe2-8dbb-7e45473280f3" targetNamespace="http://schemas.microsoft.com/office/2006/metadata/properties" ma:root="true" ma:fieldsID="e14ccc0776b2a5e040d33e28b41dff67" ns3:_="">
    <xsd:import namespace="bbdb2c1b-35d0-4fe2-8dbb-7e45473280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2c1b-35d0-4fe2-8dbb-7e4547328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D2F5-75F8-4837-81CC-3E2385C49D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db2c1b-35d0-4fe2-8dbb-7e45473280f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D87085-D68B-41B4-BBA2-532AD44134E7}">
  <ds:schemaRefs>
    <ds:schemaRef ds:uri="http://schemas.microsoft.com/sharepoint/v3/contenttype/forms"/>
  </ds:schemaRefs>
</ds:datastoreItem>
</file>

<file path=customXml/itemProps3.xml><?xml version="1.0" encoding="utf-8"?>
<ds:datastoreItem xmlns:ds="http://schemas.openxmlformats.org/officeDocument/2006/customXml" ds:itemID="{48E78F02-FEC3-4F4B-99F4-B59C8A30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b2c1b-35d0-4fe2-8dbb-7e454732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18B37-A069-4E4B-99A2-F5E3432F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Pages>
  <Words>1558</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at Alert Level 3</dc:title>
  <dc:creator>Ministry of Health</dc:creator>
  <cp:lastModifiedBy>Andrew Michael Leggott</cp:lastModifiedBy>
  <cp:revision>2</cp:revision>
  <cp:lastPrinted>2020-04-02T23:47:00Z</cp:lastPrinted>
  <dcterms:created xsi:type="dcterms:W3CDTF">2020-04-21T04:09:00Z</dcterms:created>
  <dcterms:modified xsi:type="dcterms:W3CDTF">2020-04-21T04:09:00Z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0x010100B647BEF33651A141ABFC35944E5802F2</vt:lpwstr>
  </property>
</Properties>
</file>